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jc w:val="right"/>
        <w:widowControl w:val="off"/>
        <w:rPr>
          <w:rFonts w:hint="eastAsia" w:ascii="宋体" w:hAnsi="宋体" w:eastAsia="宋体" w:cs="宋体"/>
          <w:b/>
          <w:spacing w:val="76"/>
          <w:sz w:val="156"/>
          <w:szCs w:val="24"/>
          <w:highlight w:val="none"/>
        </w:rPr>
      </w:pPr>
      <w:r>
        <w:rPr>
          <w:rFonts w:hint="eastAsia" w:ascii="宋体" w:hAnsi="宋体" w:eastAsia="宋体" w:cs="宋体"/>
          <w:color w:val="auto"/>
          <w:sz w:val="32"/>
          <w:highlight w:val="none"/>
        </w:rPr>
        <w:t xml:space="preserve">      </w:t>
      </w:r>
      <w:r>
        <w:rPr>
          <w:rFonts w:hint="eastAsia" w:ascii="宋体" w:hAnsi="宋体" w:eastAsia="宋体" w:cs="宋体"/>
          <w:b/>
          <w:spacing w:val="76"/>
          <w:sz w:val="156"/>
          <w:szCs w:val="24"/>
          <w:highlight w:val="none"/>
        </w:rPr>
        <w:t xml:space="preserve"> </w:t>
      </w:r>
      <w:r/>
    </w:p>
    <w:p>
      <w:pPr>
        <w:jc w:val="center"/>
        <w:widowControl w:val="off"/>
        <w:rPr>
          <w:rFonts w:hint="eastAsia" w:ascii="宋体" w:hAnsi="宋体" w:eastAsia="宋体" w:cs="宋体"/>
          <w:bCs/>
          <w:spacing w:val="76"/>
          <w:sz w:val="44"/>
          <w:szCs w:val="44"/>
          <w:highlight w:val="none"/>
          <w:lang w:val="en-US" w:eastAsia="zh-CN" w:bidi="ar-SA"/>
        </w:rPr>
      </w:pPr>
      <w:r>
        <w:rPr>
          <w:rFonts w:hint="eastAsia" w:ascii="宋体" w:hAnsi="宋体" w:eastAsia="宋体" w:cs="宋体"/>
          <w:bCs/>
          <w:spacing w:val="76"/>
          <w:sz w:val="44"/>
          <w:szCs w:val="44"/>
          <w:highlight w:val="none"/>
          <w:lang w:val="en-US" w:eastAsia="zh-CN" w:bidi="ar-SA"/>
        </w:rPr>
      </w:r>
      <w:r/>
    </w:p>
    <w:p>
      <w:pPr>
        <w:jc w:val="center"/>
        <w:widowControl w:val="off"/>
        <w:rPr>
          <w:rFonts w:hint="eastAsia" w:ascii="宋体" w:hAnsi="宋体" w:eastAsia="宋体" w:cs="宋体"/>
          <w:bCs/>
          <w:spacing w:val="76"/>
          <w:sz w:val="156"/>
          <w:szCs w:val="24"/>
          <w:highlight w:val="none"/>
          <w:lang w:val="en-US" w:eastAsia="zh-CN" w:bidi="ar-SA"/>
        </w:rPr>
      </w:pPr>
      <w:r>
        <w:rPr>
          <w:rFonts w:hint="eastAsia" w:ascii="宋体" w:hAnsi="宋体" w:eastAsia="宋体" w:cs="宋体"/>
          <w:bCs/>
          <w:spacing w:val="76"/>
          <w:sz w:val="156"/>
          <w:szCs w:val="24"/>
          <w:highlight w:val="none"/>
          <w:lang w:val="en-US" w:eastAsia="zh-CN" w:bidi="ar-SA"/>
        </w:rPr>
        <w:t xml:space="preserve">招标文件</w:t>
      </w:r>
      <w:r/>
    </w:p>
    <w:p>
      <w:pPr>
        <w:jc w:val="both"/>
        <w:widowControl w:val="off"/>
        <w:rPr>
          <w:rFonts w:hint="eastAsia" w:ascii="宋体" w:hAnsi="宋体" w:eastAsia="宋体" w:cs="宋体"/>
          <w:b/>
          <w:sz w:val="32"/>
          <w:szCs w:val="24"/>
          <w:highlight w:val="none"/>
          <w:lang w:val="en-US" w:eastAsia="zh-CN" w:bidi="ar-SA"/>
        </w:rPr>
      </w:pPr>
      <w:r>
        <w:rPr>
          <w:rFonts w:hint="eastAsia" w:ascii="宋体" w:hAnsi="宋体" w:eastAsia="宋体" w:cs="宋体"/>
          <w:b/>
          <w:sz w:val="32"/>
          <w:szCs w:val="24"/>
          <w:highlight w:val="none"/>
          <w:lang w:val="en-US" w:eastAsia="zh-CN" w:bidi="ar-SA"/>
        </w:rPr>
      </w:r>
      <w:r/>
    </w:p>
    <w:p>
      <w:pPr>
        <w:jc w:val="both"/>
        <w:widowControl w:val="off"/>
        <w:rPr>
          <w:rFonts w:hint="eastAsia" w:ascii="宋体" w:hAnsi="宋体" w:eastAsia="宋体" w:cs="宋体"/>
          <w:b/>
          <w:sz w:val="32"/>
          <w:szCs w:val="24"/>
          <w:highlight w:val="none"/>
          <w:lang w:val="en-US" w:eastAsia="zh-CN" w:bidi="ar-SA"/>
        </w:rPr>
      </w:pPr>
      <w:r>
        <w:rPr>
          <w:rFonts w:hint="eastAsia" w:ascii="宋体" w:hAnsi="宋体" w:eastAsia="宋体" w:cs="宋体"/>
          <w:b/>
          <w:sz w:val="32"/>
          <w:szCs w:val="24"/>
          <w:highlight w:val="none"/>
          <w:lang w:val="en-US" w:eastAsia="zh-CN" w:bidi="ar-SA"/>
        </w:rPr>
      </w:r>
      <w:r/>
    </w:p>
    <w:p>
      <w:pPr>
        <w:jc w:val="both"/>
        <w:spacing w:after="120" w:line="48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ind w:firstLine="640"/>
        <w:jc w:val="both"/>
        <w:spacing w:line="360" w:lineRule="auto"/>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32"/>
          <w:szCs w:val="24"/>
          <w:highlight w:val="none"/>
          <w:lang w:val="en-US" w:eastAsia="zh-CN" w:bidi="ar-SA"/>
        </w:rPr>
        <w:t xml:space="preserve">   </w:t>
      </w:r>
      <w:r/>
    </w:p>
    <w:p>
      <w:pPr>
        <w:ind w:left="0" w:firstLine="420"/>
        <w:jc w:val="both"/>
        <w:spacing w:line="360" w:lineRule="auto"/>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32"/>
          <w:szCs w:val="24"/>
          <w:highlight w:val="none"/>
          <w:lang w:val="en-US" w:eastAsia="zh-CN" w:bidi="ar-SA"/>
        </w:rPr>
        <w:t xml:space="preserve">项目名称：</w:t>
      </w:r>
      <w:r>
        <w:rPr>
          <w:rFonts w:hint="eastAsia" w:ascii="宋体" w:hAnsi="宋体" w:cs="宋体"/>
          <w:sz w:val="32"/>
          <w:szCs w:val="24"/>
          <w:highlight w:val="none"/>
          <w:lang w:val="en-US" w:eastAsia="zh-CN" w:bidi="ar-SA"/>
        </w:rPr>
        <w:t xml:space="preserve">徐州市部分市级监测事权环境质量监测服务</w:t>
      </w:r>
      <w:r/>
    </w:p>
    <w:p>
      <w:pPr>
        <w:ind w:left="0" w:firstLine="420"/>
        <w:jc w:val="both"/>
        <w:spacing w:line="360" w:lineRule="auto"/>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32"/>
          <w:szCs w:val="24"/>
          <w:highlight w:val="none"/>
          <w:lang w:val="en-US" w:eastAsia="zh-CN" w:bidi="ar-SA"/>
        </w:rPr>
        <w:t xml:space="preserve">项目编号：</w:t>
      </w:r>
      <w:r>
        <w:rPr>
          <w:rFonts w:hint="eastAsia" w:ascii="宋体" w:hAnsi="宋体" w:cs="宋体"/>
          <w:sz w:val="32"/>
          <w:szCs w:val="24"/>
          <w:highlight w:val="none"/>
          <w:lang w:val="en-US" w:eastAsia="zh-CN" w:bidi="ar-SA"/>
        </w:rPr>
        <w:t xml:space="preserve">JSZC-320300-YMXM-G2025-0015</w:t>
      </w:r>
      <w:r/>
    </w:p>
    <w:p>
      <w:pPr>
        <w:ind w:left="0" w:firstLine="420"/>
        <w:jc w:val="both"/>
        <w:spacing w:line="36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24"/>
          <w:highlight w:val="none"/>
          <w:lang w:val="en-US" w:eastAsia="zh-CN" w:bidi="ar-SA"/>
        </w:rPr>
        <w:t xml:space="preserve">采 购 人：</w:t>
      </w:r>
      <w:r>
        <w:rPr>
          <w:rFonts w:hint="eastAsia" w:ascii="宋体" w:hAnsi="宋体" w:cs="宋体"/>
          <w:sz w:val="32"/>
          <w:szCs w:val="24"/>
          <w:highlight w:val="none"/>
          <w:lang w:val="en-US" w:eastAsia="zh-CN" w:bidi="ar-SA"/>
        </w:rPr>
        <w:t xml:space="preserve">徐州市生态环境局</w:t>
      </w:r>
      <w:r/>
    </w:p>
    <w:p>
      <w:pPr>
        <w:jc w:val="both"/>
        <w:spacing w:after="120" w:line="48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spacing w:after="120" w:line="48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ind w:firstLine="640"/>
        <w:jc w:val="center"/>
        <w:spacing w:line="360" w:lineRule="auto"/>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t xml:space="preserve">采购代理机构：</w:t>
      </w:r>
      <w:r>
        <w:rPr>
          <w:rFonts w:hint="eastAsia" w:ascii="宋体" w:hAnsi="宋体" w:cs="宋体"/>
          <w:sz w:val="32"/>
          <w:szCs w:val="32"/>
          <w:highlight w:val="none"/>
          <w:lang w:val="en-US" w:eastAsia="zh-CN" w:bidi="ar-SA"/>
        </w:rPr>
        <w:t xml:space="preserve">永明项目管理有限公司</w:t>
      </w:r>
      <w:r/>
    </w:p>
    <w:p>
      <w:pPr>
        <w:ind w:firstLine="737"/>
        <w:jc w:val="center"/>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ind w:firstLine="737"/>
        <w:jc w:val="center"/>
        <w:rPr>
          <w:rFonts w:hint="eastAsia" w:ascii="宋体" w:hAnsi="宋体" w:eastAsia="宋体" w:cs="宋体"/>
          <w:color w:val="auto"/>
          <w:sz w:val="32"/>
          <w:highlight w:val="none"/>
        </w:rPr>
      </w:pPr>
      <w:r>
        <w:rPr>
          <w:rFonts w:hint="eastAsia" w:ascii="宋体" w:hAnsi="宋体" w:eastAsia="宋体" w:cs="宋体"/>
          <w:sz w:val="32"/>
          <w:szCs w:val="32"/>
          <w:highlight w:val="none"/>
          <w:lang w:val="en-US" w:eastAsia="zh-CN" w:bidi="ar-SA"/>
        </w:rPr>
        <w:t xml:space="preserve">二〇二五年</w:t>
      </w:r>
      <w:r>
        <w:rPr>
          <w:rFonts w:hint="eastAsia" w:ascii="宋体" w:hAnsi="宋体" w:cs="宋体"/>
          <w:sz w:val="32"/>
          <w:szCs w:val="32"/>
          <w:highlight w:val="none"/>
          <w:lang w:val="en-US" w:eastAsia="zh-CN" w:bidi="ar-SA"/>
        </w:rPr>
        <w:t xml:space="preserve">十一</w:t>
      </w:r>
      <w:r>
        <w:rPr>
          <w:rFonts w:hint="eastAsia" w:ascii="宋体" w:hAnsi="宋体" w:eastAsia="宋体" w:cs="宋体"/>
          <w:sz w:val="32"/>
          <w:szCs w:val="32"/>
          <w:highlight w:val="none"/>
          <w:lang w:val="en-US" w:eastAsia="zh-CN" w:bidi="ar-SA"/>
        </w:rPr>
        <w:t xml:space="preserve">月</w:t>
      </w:r>
      <w:r/>
    </w:p>
    <w:p>
      <w:pPr>
        <w:pStyle w:val="1052"/>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1052"/>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1052"/>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1052"/>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目 录</w:t>
      </w:r>
      <w:r/>
    </w:p>
    <w:p>
      <w:pPr>
        <w:jc w:val="center"/>
        <w:spacing w:line="520" w:lineRule="exact"/>
        <w:rPr>
          <w:rFonts w:hint="eastAsia" w:ascii="宋体" w:hAnsi="宋体" w:eastAsia="宋体" w:cs="宋体"/>
          <w:b/>
          <w:color w:val="auto"/>
          <w:sz w:val="44"/>
          <w:szCs w:val="44"/>
          <w:highlight w:val="none"/>
        </w:rPr>
      </w:pPr>
      <w:r/>
      <w:bookmarkStart w:id="0" w:name="_Toc522790130"/>
      <w:r/>
      <w:r/>
    </w:p>
    <w:p>
      <w:pPr>
        <w:jc w:val="center"/>
        <w:spacing w:line="5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56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ind w:firstLine="42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ind w:firstLine="42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ind w:firstLine="42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"_Toc523404698"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ind w:firstLine="42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"_Toc523404699"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ind w:firstLine="42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ind w:firstLine="42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"_Toc523404701"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第七章  投标文件相关格</w:t>
      </w:r>
      <w:bookmarkStart w:id="1" w:name="_Hlt532911772"/>
      <w:r/>
      <w:bookmarkStart w:id="2" w:name="_Hlt532911771"/>
      <w:r>
        <w:rPr>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210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0"/>
          <w:szCs w:val="40"/>
          <w:highlight w:val="none"/>
        </w:rPr>
        <w:t xml:space="preserve">《</w:t>
      </w:r>
      <w:r>
        <w:rPr>
          <w:rFonts w:hint="eastAsia" w:ascii="宋体" w:hAnsi="宋体" w:cs="宋体"/>
          <w:b/>
          <w:color w:val="auto"/>
          <w:sz w:val="40"/>
          <w:szCs w:val="40"/>
          <w:highlight w:val="none"/>
          <w:lang w:eastAsia="zh-CN"/>
        </w:rPr>
        <w:t xml:space="preserve">徐州市部分市级监测事权环境质量监测服务</w:t>
      </w:r>
      <w:r>
        <w:rPr>
          <w:rFonts w:hint="eastAsia" w:ascii="宋体" w:hAnsi="宋体" w:eastAsia="宋体" w:cs="宋体"/>
          <w:b/>
          <w:color w:val="auto"/>
          <w:sz w:val="40"/>
          <w:szCs w:val="40"/>
          <w:highlight w:val="none"/>
        </w:rPr>
        <w:t xml:space="preserve">》</w:t>
      </w:r>
      <w:r/>
    </w:p>
    <w:p>
      <w:pPr>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0"/>
          <w:szCs w:val="40"/>
          <w:highlight w:val="none"/>
        </w:rPr>
        <w:t xml:space="preserve">招标文件</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p>
      <w:pPr>
        <w:ind w:firstLine="56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25"/>
        <w:spacing w:line="520" w:lineRule="exact"/>
        <w:rPr>
          <w:rFonts w:hint="eastAsia" w:ascii="宋体" w:hAnsi="宋体" w:eastAsia="宋体" w:cs="宋体"/>
          <w:color w:val="auto"/>
          <w:highlight w:val="none"/>
        </w:rPr>
      </w:pPr>
      <w:r/>
      <w:bookmarkStart w:id="3" w:name="_Toc523404695"/>
      <w:r>
        <w:rPr>
          <w:rFonts w:hint="eastAsia" w:ascii="宋体" w:hAnsi="宋体" w:eastAsia="宋体" w:cs="宋体"/>
          <w:color w:val="auto"/>
          <w:highlight w:val="none"/>
        </w:rPr>
        <w:t xml:space="preserve">第一章  投标邀请</w:t>
      </w:r>
      <w:bookmarkEnd w:id="3"/>
      <w:r/>
      <w:r/>
    </w:p>
    <w:p>
      <w:pPr>
        <w:jc w:val="cente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560"/>
        <w:spacing w:line="52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永明项目管理有限公司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lang w:eastAsia="zh-CN"/>
        </w:rPr>
        <w:t xml:space="preserve">徐州市生态环境局</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徐州市部分市级监测事权环境质量监测服务</w:t>
      </w:r>
      <w:r>
        <w:rPr>
          <w:rFonts w:hint="eastAsia" w:ascii="宋体" w:hAnsi="宋体" w:eastAsia="宋体" w:cs="宋体"/>
          <w:color w:val="auto"/>
          <w:sz w:val="28"/>
          <w:szCs w:val="28"/>
          <w:highlight w:val="none"/>
        </w:rPr>
        <w:t xml:space="preserve">”进行公开招标采购，现邀请符合相关条件的供应商投标。</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一、项目名称和项目编号</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徐州市部分市级监测事权环境质量监测服务</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JSZC-320300-YMXM-G2025-0015</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二、对投标人的资格要求</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详见本项目公开招标公告。</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三、获取招标文件</w:t>
      </w:r>
      <w:bookmarkEnd w:id="0"/>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（1）潜在供应商访问电子招标投标交易平台的网络地址和方法：</w:t>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①“苏采云”系统用户注册</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获取“CA数字证书”--CA绑定与登录--网上报名</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下载采购文件（后缀名为“.kedt”）--将后缀名为“.kedt”的采购文件导入政府采购客户端工具</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制作投标文件</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导出加密的投标文件（后缀名为zip）--通过“苏采云”系统上传投标文件。具体见《江苏省政府采购管理交易系统（苏采云）供应商操作手册》。</w:t>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②潜在供应商访问“苏采云”系统的网络地址和方法：“苏采云”系统的网址：http://jszfcg.jsczt.cn</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或进入徐州政府采购网（网址：http://czj.xz.gov.cn/Home/HomeIndex）--业务工作--用户登录，点击“苏采云”进入系统。</w:t>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③“CA数字证书”的获取：</w:t>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快速服务</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下载专区”中的《“苏采云”系统政务CA办理材料、操作手册及控件下载》。</w:t>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④采购文件（后缀名为“.kedt”）、供应商操作手册及政府采购客户端工具可通过“苏采云”系统</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已报名项目</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报名详情页面内相应链接进行下载；供应商操作手册及政府采购客户端工具也可通过徐州政府采购网-</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业务工作</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快速服务</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下载专区，点击进入《江苏省政府采购管理交易系统（苏采云）供应商操作手册及政府采购客户端》，进行下载。</w:t>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（2）采购代理机构将数据电文形式的招标文件加载至电子招标投标交易平台，供潜在供应商下载或者查阅。</w:t>
      </w:r>
      <w:r/>
    </w:p>
    <w:p>
      <w:pPr>
        <w:pStyle w:val="824"/>
        <w:ind w:firstLine="621"/>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（3）苏采云系统使用谷歌浏览器参与不见面开标。</w:t>
      </w:r>
      <w:r/>
    </w:p>
    <w:p>
      <w:pPr>
        <w:ind w:firstLine="560"/>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（4）售价：免费。 </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四、投标有关信息</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（一）投标截止时间：</w:t>
      </w:r>
      <w:r>
        <w:rPr>
          <w:rFonts w:hint="eastAsia" w:ascii="宋体" w:hAnsi="宋体" w:eastAsia="宋体" w:cs="宋体"/>
          <w:b/>
          <w:bCs/>
          <w:color w:val="auto"/>
          <w:sz w:val="28"/>
          <w:szCs w:val="28"/>
          <w:highlight w:val="none"/>
          <w:lang w:eastAsia="zh-CN"/>
        </w:rPr>
        <w:t xml:space="preserve">2025年</w:t>
      </w:r>
      <w:r>
        <w:rPr>
          <w:rFonts w:hint="eastAsia" w:ascii="宋体" w:hAnsi="宋体" w:cs="宋体"/>
          <w:b/>
          <w:bCs/>
          <w:color w:val="auto"/>
          <w:sz w:val="28"/>
          <w:szCs w:val="28"/>
          <w:highlight w:val="white"/>
          <w:lang w:eastAsia="zh-CN"/>
        </w:rPr>
        <w:t xml:space="preserve">12月3日</w:t>
      </w:r>
      <w:r>
        <w:rPr>
          <w:rFonts w:hint="eastAsia" w:ascii="宋体" w:hAnsi="宋体" w:eastAsia="宋体" w:cs="宋体"/>
          <w:b/>
          <w:bCs/>
          <w:color w:val="auto"/>
          <w:sz w:val="28"/>
          <w:szCs w:val="28"/>
          <w:highlight w:val="none"/>
        </w:rPr>
        <w:t xml:space="preserve">北京时间09:30</w:t>
      </w:r>
      <w:r>
        <w:rPr>
          <w:rFonts w:hint="eastAsia" w:ascii="宋体" w:hAnsi="宋体" w:eastAsia="宋体" w:cs="宋体"/>
          <w:color w:val="auto"/>
          <w:sz w:val="28"/>
          <w:szCs w:val="28"/>
          <w:highlight w:val="none"/>
        </w:rPr>
        <w:t xml:space="preserve">。</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（二）开标时间：</w:t>
      </w:r>
      <w:r>
        <w:rPr>
          <w:rFonts w:hint="eastAsia" w:ascii="宋体" w:hAnsi="宋体" w:eastAsia="宋体" w:cs="宋体"/>
          <w:b/>
          <w:bCs/>
          <w:color w:val="auto"/>
          <w:sz w:val="28"/>
          <w:szCs w:val="28"/>
          <w:highlight w:val="none"/>
          <w:lang w:eastAsia="zh-CN"/>
        </w:rPr>
        <w:t xml:space="preserve">2025年</w:t>
      </w:r>
      <w:r>
        <w:rPr>
          <w:rFonts w:hint="eastAsia" w:ascii="宋体" w:hAnsi="宋体" w:cs="宋体"/>
          <w:b/>
          <w:bCs/>
          <w:color w:val="auto"/>
          <w:sz w:val="28"/>
          <w:szCs w:val="28"/>
          <w:highlight w:val="none"/>
          <w:lang w:eastAsia="zh-CN"/>
        </w:rPr>
        <w:t xml:space="preserve">12月3日</w:t>
      </w:r>
      <w:r>
        <w:rPr>
          <w:rFonts w:hint="eastAsia" w:ascii="宋体" w:hAnsi="宋体" w:eastAsia="宋体" w:cs="宋体"/>
          <w:b/>
          <w:bCs/>
          <w:color w:val="auto"/>
          <w:sz w:val="28"/>
          <w:szCs w:val="28"/>
          <w:highlight w:val="none"/>
        </w:rPr>
        <w:t xml:space="preserve">北京时间09:30</w:t>
      </w:r>
      <w:r>
        <w:rPr>
          <w:rFonts w:hint="eastAsia" w:ascii="宋体" w:hAnsi="宋体" w:eastAsia="宋体" w:cs="宋体"/>
          <w:color w:val="auto"/>
          <w:sz w:val="28"/>
          <w:szCs w:val="28"/>
          <w:highlight w:val="none"/>
        </w:rPr>
        <w:t xml:space="preserve">。</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（三）开标地点：“苏采云”系统（网址： http://jszfcg.jsczt.cn/）“开标大厅”或进入徐州政府采购网（网址：http://czj.xz.gov.cn/Home/HomeIndex）</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业务工作 </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用户登录，点击“苏采云”进入系统“开标大厅”。 </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徐州市生态环境局</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徐州市新城区昆仑大道1号行政中心东三区4楼</w:t>
      </w:r>
      <w:r>
        <w:rPr>
          <w:rFonts w:hint="eastAsia" w:ascii="宋体" w:hAnsi="宋体" w:eastAsia="宋体" w:cs="宋体"/>
          <w:color w:val="auto"/>
          <w:sz w:val="28"/>
          <w:szCs w:val="28"/>
          <w:highlight w:val="none"/>
        </w:rPr>
        <w:t xml:space="preserve"> </w:t>
      </w:r>
      <w:r/>
    </w:p>
    <w:p>
      <w:pPr>
        <w:ind w:firstLine="560"/>
        <w:spacing w:line="52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（三）联系方法：</w:t>
      </w:r>
      <w:r>
        <w:rPr>
          <w:rFonts w:hint="eastAsia" w:ascii="宋体" w:hAnsi="宋体" w:cs="宋体"/>
          <w:color w:val="auto"/>
          <w:sz w:val="28"/>
          <w:szCs w:val="28"/>
          <w:highlight w:val="none"/>
          <w:lang w:val="en-US" w:eastAsia="zh-CN"/>
        </w:rPr>
        <w:t xml:space="preserve">19351605628</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（四）采购项目联系人：</w:t>
      </w:r>
      <w:r>
        <w:rPr>
          <w:rFonts w:hint="eastAsia" w:ascii="宋体" w:hAnsi="宋体" w:cs="宋体"/>
          <w:color w:val="auto"/>
          <w:sz w:val="28"/>
          <w:szCs w:val="28"/>
          <w:highlight w:val="none"/>
          <w:lang w:val="en-US" w:eastAsia="zh-CN"/>
        </w:rPr>
        <w:t xml:space="preserve">沈冰</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永明项目管理有限公司</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江苏省徐州市云龙区绿地商务城蓝海officeA座21楼</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（三）联系方法：</w:t>
      </w:r>
      <w:r>
        <w:rPr>
          <w:rFonts w:hint="eastAsia" w:ascii="宋体" w:hAnsi="宋体" w:cs="宋体"/>
          <w:color w:val="auto"/>
          <w:sz w:val="28"/>
          <w:szCs w:val="28"/>
          <w:highlight w:val="none"/>
          <w:lang w:eastAsia="zh-CN"/>
        </w:rPr>
        <w:t xml:space="preserve">0516-83333882</w:t>
      </w:r>
      <w:r/>
    </w:p>
    <w:p>
      <w:pPr>
        <w:ind w:firstLine="56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（四）采购项目联系人：</w:t>
      </w:r>
      <w:r>
        <w:rPr>
          <w:rFonts w:hint="eastAsia" w:ascii="宋体" w:hAnsi="宋体" w:cs="宋体"/>
          <w:color w:val="auto"/>
          <w:sz w:val="28"/>
          <w:szCs w:val="28"/>
          <w:highlight w:val="none"/>
          <w:lang w:val="en-US" w:eastAsia="zh-CN"/>
        </w:rPr>
        <w:t xml:space="preserve">房盼盼</w:t>
      </w:r>
      <w:r/>
    </w:p>
    <w:p>
      <w:pPr>
        <w:ind w:firstLine="600"/>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118"/>
        <w:rPr>
          <w:rFonts w:hint="eastAsia" w:ascii="宋体" w:hAnsi="宋体" w:eastAsia="宋体" w:cs="宋体"/>
          <w:color w:val="auto"/>
          <w:highlight w:val="none"/>
        </w:rPr>
      </w:pPr>
      <w:r/>
      <w:bookmarkStart w:id="4" w:name="_Toc523404696"/>
      <w:r/>
      <w:bookmarkStart w:id="5" w:name="_Toc522790131"/>
      <w:r>
        <w:rPr>
          <w:rFonts w:hint="eastAsia" w:ascii="宋体" w:hAnsi="宋体" w:eastAsia="宋体" w:cs="宋体"/>
          <w:color w:val="auto"/>
          <w:highlight w:val="none"/>
        </w:rPr>
        <w:br w:type="page" w:clear="all"/>
      </w:r>
      <w:bookmarkEnd w:id="4"/>
      <w:r/>
      <w:bookmarkEnd w:id="5"/>
      <w:r/>
      <w:bookmarkStart w:id="6" w:name="_Toc522790132"/>
      <w:r/>
      <w:bookmarkStart w:id="7" w:name="_Toc523404697"/>
      <w:r>
        <w:rPr>
          <w:rFonts w:hint="eastAsia" w:ascii="宋体" w:hAnsi="宋体" w:eastAsia="宋体" w:cs="宋体"/>
          <w:color w:val="auto"/>
          <w:highlight w:val="none"/>
        </w:rPr>
        <w:t xml:space="preserve">第二章  投标人须知</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（一）采购人。采购人即指依法进行政府采购的国家机关、事业单位和团体组织。</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（二）政府招标采购方式。政府采购货物或服务（以下简称“货物服务”）的招标方式，分为公开招标和邀请招标。</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（五）采购人委托采购代理机构代理招标的，采购代理机构必须在采购人委托的范围内依法开展采购活动。</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（六）投标人的资格条件：</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投标人是指响应招标、参加投标竞争的法人、其他组织或者自然人。</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2.投标人授权代表系指法定代表人或受法人委托的受托人。</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二、招标</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（八）招标文件应包括以下内容：</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第一章，投标邀请；</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第二章，投标人须知；</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第三章，投标资料表；</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第四章，评标标准；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第五章，拟签订的合同文本；</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第六章，采购需求；</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第七章，投标文件相关格式。</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（九）招标文件澄清或者修改：</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2.现场考察以本文件第三章《投标资料表》中的要求为准。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3.开标前答疑会以本文件第三章《投标资料表》中的要求为准。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（十）投标人应当按照招标文件的要求编制投标文件。投标文件应对招标文件提出的要求和条件作出实质性响应。</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（十二）投标文件的构成：</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1.投标文件的构成以本文件第三章《投标资料表》中的要求为准。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2.投标人应当提交的资格、资信证明文件，以本文件第三章《投标资料表》中的所提要求为准。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（十三）投标函和价格表、商务条件、交货和提供服务的时间：</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1.投标函和价格表的要求见本章（十二）、（十三），格式见本文件第七章《投标文件相关格式》中《投标函》和《开标一览表》。</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2.商务条件以本文件第三章《投标资料表》中的要求为准。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3.交货和提供服务的时间，以本文件第三章《投标资料表》中所提要求为准。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（十四）投标报价要求：</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1.投标人应按照招标文件的要求报出分项价格和总价或优惠率。</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2.投标人应按照招标文件的要求进行报价，如投标人作出偏离，应在《偏离表》中列出。</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3.采购人不支付报价以外的任何费用。</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5.投标人只能提交一个投标价格，投标人提交多个价格的投标文件，在资格性、符合性检查时按照无效投标处理。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（十五）投标货币。以本文件第三章《投标资料表》中所提要求为准。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（十六）投标有效期：</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1.投标有效期为开标之日后90天。采购人可以要求对投标有效期延长一次，但该延长期最长不得超过30天。</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2.采购人要求延长投标有效期的，</w:t>
      </w:r>
      <w:r>
        <w:rPr>
          <w:rFonts w:hint="eastAsia" w:ascii="宋体" w:hAnsi="宋体" w:eastAsia="宋体" w:cs="宋体"/>
          <w:color w:val="auto"/>
          <w:sz w:val="28"/>
          <w:szCs w:val="28"/>
          <w:highlight w:val="none"/>
          <w:lang w:eastAsia="zh-CN"/>
        </w:rPr>
        <w:t xml:space="preserve">必须</w:t>
      </w:r>
      <w:r>
        <w:rPr>
          <w:rFonts w:hint="eastAsia" w:ascii="宋体" w:hAnsi="宋体" w:eastAsia="宋体" w:cs="宋体"/>
          <w:color w:val="auto"/>
          <w:sz w:val="28"/>
          <w:szCs w:val="28"/>
          <w:highlight w:val="none"/>
        </w:rPr>
        <w:t xml:space="preserve">在距投标有效期满20日之前，以书面形式通知投标人，如果有关投标人同意延长投标有效期的要求，其应在原投标有效期期满前以书面形式向采购人确认。</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（十七）投标文件的编制要求和签署要求</w:t>
      </w:r>
      <w:r/>
    </w:p>
    <w:p>
      <w:pPr>
        <w:pStyle w:val="824"/>
        <w:ind w:firstLine="482"/>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1.投标人应由其法定代表人或法定代表人授权代表在规定的网上投标时间，凭 CA 证书</w:t>
      </w:r>
      <w:r>
        <w:rPr>
          <w:rFonts w:hint="eastAsia" w:ascii="宋体" w:hAnsi="宋体" w:eastAsia="宋体" w:cs="宋体"/>
          <w:color w:val="auto"/>
          <w:sz w:val="28"/>
          <w:szCs w:val="28"/>
          <w:highlight w:val="none"/>
          <w:lang w:eastAsia="zh-CN"/>
        </w:rPr>
        <w:t xml:space="preserve">登录</w:t>
      </w:r>
      <w:r>
        <w:rPr>
          <w:rFonts w:hint="eastAsia" w:ascii="宋体" w:hAnsi="宋体" w:eastAsia="宋体" w:cs="宋体"/>
          <w:color w:val="auto"/>
          <w:sz w:val="28"/>
          <w:szCs w:val="28"/>
          <w:highlight w:val="none"/>
        </w:rPr>
        <w:t xml:space="preserve">“苏采云”系统在线编制投标文件（电子数据），并在投标截止时间之前上传投标文件。</w:t>
      </w:r>
      <w:r/>
    </w:p>
    <w:p>
      <w:pPr>
        <w:pStyle w:val="824"/>
        <w:ind w:firstLine="482"/>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2.投标人应对 CA 证书妥善保管，如被他人盗用投标，因此带来的结果均由投标人自行承担。</w:t>
      </w:r>
      <w:r/>
    </w:p>
    <w:p>
      <w:pPr>
        <w:pStyle w:val="824"/>
        <w:ind w:firstLine="482"/>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3.投标人应当对招标文件提出的要求和条件作出实质性响应，并在电子投标系统逐条应答。</w:t>
      </w:r>
      <w:r/>
    </w:p>
    <w:p>
      <w:pPr>
        <w:pStyle w:val="824"/>
        <w:ind w:firstLine="482"/>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4.投标人应对要求提供的资格证明文件（如资质证书、资格证书）、技术资料（如白皮书、彩页、手册、检测报告等）扫描上传至投标系统。</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（十八）投标文件的盖章要求：</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投标文件的盖章要求，以本文件第三章《投标资料表》中所提要求为准。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（二十二）本项目不允许分包。</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（二十四）有下列情形之一的，其投标无效。</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6.电子投标文件未按规定期限投标的；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7.电子投标文件未按招标文件要求签章的；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8.投标人未在规定时间内解密电子投标文件的；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9.投标文件未按招标文件规定的内容和要求填写的；没有在投标系统指定位置上传对应文件、材料的；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10.不具备招标文件中规定的资格要求的；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11.报价超过招标文件中规定的预算金额或者最高限价的；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12.投标文件含有采购人不能接受的附加条件的；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（二十五）开标：</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824"/>
        <w:ind w:firstLine="600"/>
        <w:spacing w:line="520" w:lineRule="exac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 xml:space="preserve">2.由电子招标投标交易平台主持，邀请投标人参加。</w:t>
      </w:r>
      <w:r/>
    </w:p>
    <w:p>
      <w:pPr>
        <w:pStyle w:val="824"/>
        <w:ind w:firstLine="600"/>
        <w:spacing w:line="520" w:lineRule="exact"/>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 xml:space="preserve">3.所有</w:t>
      </w:r>
      <w:r>
        <w:rPr>
          <w:rFonts w:hint="eastAsia" w:ascii="宋体" w:hAnsi="宋体" w:eastAsia="宋体" w:cs="宋体"/>
          <w:color w:val="auto"/>
          <w:sz w:val="28"/>
          <w:szCs w:val="28"/>
          <w:highlight w:val="none"/>
          <w:shd w:val="clear" w:color="auto" w:fill="ffffff"/>
          <w:lang w:eastAsia="zh-CN"/>
        </w:rPr>
        <w:t xml:space="preserve">投标人</w:t>
      </w:r>
      <w:r>
        <w:rPr>
          <w:rFonts w:hint="eastAsia" w:ascii="宋体" w:hAnsi="宋体" w:eastAsia="宋体" w:cs="宋体"/>
          <w:color w:val="auto"/>
          <w:sz w:val="28"/>
          <w:szCs w:val="28"/>
          <w:highlight w:val="none"/>
          <w:shd w:val="clear" w:color="auto" w:fill="ffffff"/>
        </w:rPr>
        <w:t xml:space="preserve">使用 CA 证书在开标时间时，解密各自投标文件，投标人不足3家的，不得评标。</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4.投标人原因造成投标文件未</w:t>
      </w:r>
      <w:r>
        <w:rPr>
          <w:rFonts w:hint="eastAsia" w:ascii="宋体" w:hAnsi="宋体" w:eastAsia="宋体" w:cs="宋体"/>
          <w:color w:val="auto"/>
          <w:sz w:val="28"/>
          <w:szCs w:val="28"/>
          <w:highlight w:val="none"/>
        </w:rPr>
        <w:t xml:space="preserve">解密的，视为撤销其投标文件</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因投标人之外的原因造成投标文件未解密的，视为撤回其投标文件。部分投标文件未解密的，其他投标文件的开标可以继续进行。</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五、评标</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（二十六）公开招标采购项目开标结束后，采购人依法对投标人的资格进行审查。合格投标人不足3家的，不得评标。</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1.评标工作由采购代理机构负责组织，并履行下列职责：</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（2）宣布评标纪律；</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（3）公布投标人名单，告知评审专家应当回避的情形；</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（4）组织评标委员会推选评标组长（采购人代表不得担任组长）；</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（5）在评标期间采取必要的</w:t>
      </w:r>
      <w:r>
        <w:rPr>
          <w:rFonts w:hint="eastAsia" w:ascii="宋体" w:hAnsi="宋体" w:eastAsia="宋体" w:cs="宋体"/>
          <w:color w:val="auto"/>
          <w:sz w:val="28"/>
          <w:szCs w:val="28"/>
          <w:highlight w:val="none"/>
          <w:lang w:eastAsia="zh-CN"/>
        </w:rPr>
        <w:t xml:space="preserve">通信管理</w:t>
      </w:r>
      <w:r>
        <w:rPr>
          <w:rFonts w:hint="eastAsia" w:ascii="宋体" w:hAnsi="宋体" w:eastAsia="宋体" w:cs="宋体"/>
          <w:color w:val="auto"/>
          <w:sz w:val="28"/>
          <w:szCs w:val="28"/>
          <w:highlight w:val="none"/>
        </w:rPr>
        <w:t xml:space="preserve">措施，保证评标活动不受外界干扰；</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（6）根据评标委员会的要求介绍政府采购相关政策法规、招标文件；</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（8）核对评标结果，对有《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政府采购</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（10）处理与评标有关的其他事项。</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2.评标委员会负责具体评标事务，并独立履行下列职责：</w:t>
      </w:r>
      <w:r/>
    </w:p>
    <w:p>
      <w:pPr>
        <w:pStyle w:val="824"/>
        <w:ind w:firstLine="45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（1）审查、评价投标文件是否符合招标文件的商务、技术等实质性要求；</w:t>
      </w:r>
      <w:r/>
    </w:p>
    <w:p>
      <w:pPr>
        <w:pStyle w:val="824"/>
        <w:ind w:firstLine="45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（2）要求投标人对投标文件有关事项作出澄清或者说明；</w:t>
      </w:r>
      <w:r/>
    </w:p>
    <w:p>
      <w:pPr>
        <w:pStyle w:val="824"/>
        <w:ind w:firstLine="45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（3）对投标文件进行比较和评价；</w:t>
      </w:r>
      <w:r/>
    </w:p>
    <w:p>
      <w:pPr>
        <w:pStyle w:val="824"/>
        <w:ind w:firstLine="45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（4）确定中标候选人名单，以及根据采购人委托直接确定中标人；</w:t>
      </w:r>
      <w:r/>
    </w:p>
    <w:p>
      <w:pPr>
        <w:pStyle w:val="824"/>
        <w:ind w:firstLine="45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（5）向采购人、采购代理机构或有关部门报告评标中发现的违法行为。</w:t>
      </w:r>
      <w:r/>
    </w:p>
    <w:p>
      <w:pPr>
        <w:pStyle w:val="824"/>
        <w:ind w:firstLine="45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（二十七）评标方法分为最低评标价法和综合评分法。</w:t>
      </w:r>
      <w:r/>
    </w:p>
    <w:p>
      <w:pPr>
        <w:pStyle w:val="824"/>
        <w:ind w:firstLine="45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（二十八）评标</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1.评标工作程序：</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（1）投标文件初审。</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①资格性审查。</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②符合性审查。</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（2）澄清有关问题。</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（3）比较与评价。</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（4）推荐中标候选供应商名单。</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（5）编写评审报告（评标报告）。</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"http://lilun.caigou2003.com/recijiedu/2365668.html"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最低评标价法</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"http://lilun.caigou2003.com/recijiedu/2365667.html"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综合评分法</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非单一产品采购项目，多家投标人提供的核心产品品牌相同的，按前两款规定处理。</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（二十九）投标文件报价出现前后不一致的，按照下列规定修正：</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1.投标文件中开标一览表（报价表）内容与投标文件中相应内容不一致的，以开标一览表（报价表）为准；</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2.大写金额和小写金额不一致的，以大写金额为准；</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4.总价金额与按单价合计金额不一致的，以单价金额计算结果为准。</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pStyle w:val="824"/>
        <w:ind w:firstLine="600"/>
        <w:jc w:val="left"/>
        <w:spacing w:line="5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评审过程中出现下列情形之一的，评审委员会应当启动异常低价投标（响应）审查程序：</w:t>
      </w:r>
      <w:r/>
    </w:p>
    <w:p>
      <w:pPr>
        <w:pStyle w:val="824"/>
        <w:ind w:firstLine="600"/>
        <w:jc w:val="left"/>
        <w:spacing w:line="5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1．投标（响应）报价低于采购项目预算50%的，即投标（响应）报价＜采购项目预算×50%；</w:t>
      </w:r>
      <w:r/>
    </w:p>
    <w:p>
      <w:pPr>
        <w:pStyle w:val="824"/>
        <w:ind w:firstLine="600"/>
        <w:jc w:val="left"/>
        <w:spacing w:line="5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2．投标（响应）报价低于采购项目最高限价45％的，即投标（响应）报价＜采购项目最高限价×45%；</w:t>
      </w:r>
      <w:r/>
    </w:p>
    <w:p>
      <w:pPr>
        <w:pStyle w:val="824"/>
        <w:ind w:firstLine="600"/>
        <w:jc w:val="left"/>
        <w:spacing w:line="5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3．评审委员会认定的供应商报价过低、有可能影响产品质量或者不能诚信履约的其他情形。</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启动异常低价投标审查后，评标委员会应当通过“苏采云”系统要求相关投标人在评标现场（即“苏采云”系统开标大厅中）合理的时间内，提供项目</w:t>
      </w:r>
      <w:r>
        <w:rPr>
          <w:rFonts w:hint="eastAsia" w:ascii="宋体" w:hAnsi="宋体" w:eastAsia="宋体" w:cs="宋体"/>
          <w:b/>
          <w:bCs/>
          <w:color w:val="auto"/>
          <w:sz w:val="28"/>
          <w:szCs w:val="28"/>
          <w:highlight w:val="none"/>
          <w:lang w:val="en-US" w:eastAsia="zh-CN"/>
        </w:rPr>
        <w:t xml:space="preserve">具体成本测算等与报价合理性相关的书面说明及相关证明材料</w:t>
      </w:r>
      <w:r>
        <w:rPr>
          <w:rFonts w:hint="eastAsia" w:ascii="宋体" w:hAnsi="宋体" w:eastAsia="宋体" w:cs="宋体"/>
          <w:color w:val="auto"/>
          <w:sz w:val="28"/>
          <w:szCs w:val="28"/>
          <w:highlight w:val="none"/>
          <w:lang w:val="en-US" w:eastAsia="zh-CN"/>
        </w:rPr>
        <w:t xml:space="preserve">，对投标价格作出解释，由评标委员会</w:t>
      </w:r>
      <w:r>
        <w:rPr>
          <w:rFonts w:hint="eastAsia" w:ascii="宋体" w:hAnsi="宋体" w:eastAsia="宋体" w:cs="宋体"/>
          <w:b/>
          <w:bCs/>
          <w:color w:val="auto"/>
          <w:sz w:val="28"/>
          <w:szCs w:val="28"/>
          <w:highlight w:val="none"/>
          <w:lang w:val="en-US" w:eastAsia="zh-CN"/>
        </w:rPr>
        <w:t xml:space="preserve">结合同类产品在主要电商平台的价格、该行业当地薪资水平等情况</w:t>
      </w:r>
      <w:r>
        <w:rPr>
          <w:rFonts w:hint="eastAsia" w:ascii="宋体" w:hAnsi="宋体" w:eastAsia="宋体" w:cs="宋体"/>
          <w:color w:val="auto"/>
          <w:sz w:val="28"/>
          <w:szCs w:val="28"/>
          <w:highlight w:val="none"/>
          <w:lang w:val="en-US" w:eastAsia="zh-CN"/>
        </w:rPr>
        <w:t xml:space="preserve">，依据专业经验对投标人报价合理性进行判断。投标人说明应当采用通过“苏采云”系统（使用“CA数字证书”,加盖电子签章）形式。</w:t>
      </w:r>
      <w:r>
        <w:rPr>
          <w:rFonts w:hint="eastAsia" w:ascii="宋体" w:hAnsi="宋体" w:eastAsia="宋体" w:cs="宋体"/>
          <w:b/>
          <w:bCs/>
          <w:color w:val="auto"/>
          <w:sz w:val="28"/>
          <w:szCs w:val="28"/>
          <w:highlight w:val="none"/>
          <w:lang w:val="en-US" w:eastAsia="zh-CN"/>
        </w:rPr>
        <w:t xml:space="preserve">投标人不提供书面说明、证明材料，或者提供的书面说明、证明材料不能证明其报价合理性的</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评标委员会应当将其作为无效投标处理</w:t>
      </w:r>
      <w:r>
        <w:rPr>
          <w:rFonts w:hint="eastAsia" w:ascii="宋体" w:hAnsi="宋体" w:eastAsia="宋体" w:cs="宋体"/>
          <w:color w:val="auto"/>
          <w:sz w:val="28"/>
          <w:szCs w:val="28"/>
          <w:highlight w:val="none"/>
          <w:lang w:val="en-US" w:eastAsia="zh-CN"/>
        </w:rPr>
        <w:t xml:space="preserve">。审查相关情况应当在评标报告中进行记录。</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（三十二）废标条款：</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出现下列情形之一的，应予废标。</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1.符合专业条件的供应商或者对招标文件作实质响应的供应商不足三家的；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2.出现影响采购公正的违法、违规行为的；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3.投标人的报价均超过了采购预算，采购人不能支付的；</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4.因重大变故，采购任务取消的。</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六、定标</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（三十三）采购代理机构应当在评标结束后2个工作日内将评标报告送采购人。</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七、政府采购合同</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（三十六）签订政府采购合同（合同签订方式）：</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24"/>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采购人不得向中标人提出任何不合理的要求作为签订合同的条件。</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2.中标或者</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，也可以重新开展政府采购活动。</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（三十八）履约保证金：</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要求详见本章（三十八）的规定。</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（三十九）腐败和欺诈行为：</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1.采购代理机构、采购人、投标人等参与招投标的各方，均应在招标、采购、合同执行等过程中保持廉洁和最高的道德水准。</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（1）腐败和欺诈行为的含义：</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②“欺诈行为”系指为了影响招标、采购和合同执行等过程，隐瞒</w:t>
      </w:r>
      <w:r>
        <w:rPr>
          <w:rFonts w:hint="eastAsia" w:ascii="宋体" w:hAnsi="宋体" w:eastAsia="宋体" w:cs="宋体"/>
          <w:color w:val="auto"/>
          <w:sz w:val="28"/>
          <w:szCs w:val="28"/>
          <w:highlight w:val="none"/>
          <w:lang w:eastAsia="zh-CN"/>
        </w:rPr>
        <w:t xml:space="preserve">事实真相</w:t>
      </w:r>
      <w:r>
        <w:rPr>
          <w:rFonts w:hint="eastAsia" w:ascii="宋体" w:hAnsi="宋体" w:eastAsia="宋体" w:cs="宋体"/>
          <w:color w:val="auto"/>
          <w:sz w:val="28"/>
          <w:szCs w:val="28"/>
          <w:highlight w:val="none"/>
        </w:rPr>
        <w:t xml:space="preserve">，给买方、卖方、采购代理机构及他人造成损害的行为，其中包括投标人之间的串通行为。</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（2）如果被推荐的中标人有腐败和欺诈行为，将取消其中标资格。</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8"/>
          <w:highlight w:val="none"/>
          <w:lang w:eastAsia="zh-CN"/>
        </w:rPr>
        <w:t xml:space="preserve">撤销其</w:t>
      </w:r>
      <w:r>
        <w:rPr>
          <w:rFonts w:hint="eastAsia" w:ascii="宋体" w:hAnsi="宋体" w:eastAsia="宋体" w:cs="宋体"/>
          <w:color w:val="auto"/>
          <w:sz w:val="28"/>
          <w:szCs w:val="28"/>
          <w:highlight w:val="none"/>
        </w:rPr>
        <w:t xml:space="preserve">已签署的合同。</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（4）如投标人在本次招投标活动前两年内，在其他招投标活动中存在提供虚假信息等不诚信行为的，采购代理机构有权拒绝其投标、取消其中标资格和</w:t>
      </w:r>
      <w:r>
        <w:rPr>
          <w:rFonts w:hint="eastAsia" w:ascii="宋体" w:hAnsi="宋体" w:eastAsia="宋体" w:cs="宋体"/>
          <w:color w:val="auto"/>
          <w:sz w:val="28"/>
          <w:szCs w:val="28"/>
          <w:highlight w:val="none"/>
          <w:lang w:eastAsia="zh-CN"/>
        </w:rPr>
        <w:t xml:space="preserve">撤销其</w:t>
      </w:r>
      <w:r>
        <w:rPr>
          <w:rFonts w:hint="eastAsia" w:ascii="宋体" w:hAnsi="宋体" w:eastAsia="宋体" w:cs="宋体"/>
          <w:color w:val="auto"/>
          <w:sz w:val="28"/>
          <w:szCs w:val="28"/>
          <w:highlight w:val="none"/>
        </w:rPr>
        <w:t xml:space="preserve">已签署的合同。</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八、询问和质疑</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（四十）询问和质疑</w:t>
      </w:r>
      <w:r/>
    </w:p>
    <w:p>
      <w:pPr>
        <w:pStyle w:val="824"/>
        <w:ind w:firstLine="600"/>
        <w:jc w:val="left"/>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4"/>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九、电子招标投标交易平台</w:t>
      </w:r>
      <w:r/>
    </w:p>
    <w:p>
      <w:pPr>
        <w:pStyle w:val="824"/>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（四十一）电子招标投标交易平台（即“苏采云”系统，网址：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http://jszfcg.jsczt.cn/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）相关要求是本招标文件的组成部分。</w:t>
      </w:r>
      <w:r/>
    </w:p>
    <w:p>
      <w:pPr>
        <w:ind w:firstLine="600"/>
        <w:jc w:val="center"/>
        <w:spacing w:line="520" w:lineRule="exact"/>
        <w:rPr>
          <w:rFonts w:hint="eastAsia" w:ascii="宋体" w:hAnsi="宋体" w:eastAsia="宋体" w:cs="宋体"/>
          <w:color w:val="auto"/>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
          <w:bCs/>
          <w:color w:val="auto"/>
          <w:sz w:val="32"/>
          <w:szCs w:val="40"/>
          <w:highlight w:val="none"/>
        </w:rPr>
        <w:t xml:space="preserve">第三章  投标资料表</w:t>
      </w:r>
      <w:bookmarkEnd w:id="6"/>
      <w:r/>
      <w:bookmarkEnd w:id="7"/>
      <w:r/>
      <w:r/>
    </w:p>
    <w:p>
      <w:pPr>
        <w:ind w:firstLine="600"/>
        <w:jc w:val="cente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4"/>
        <w:ind w:firstLine="560"/>
        <w:jc w:val="left"/>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2"/>
        <w:tblW w:w="4999"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7186"/>
      </w:tblGrid>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徐州市生态环境局</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永明项目管理有限公司</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ind w:firstLine="2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二、本项目属于专门面向中小微企业采购的项目，供应商应为中小微企业或监狱企业或残疾人福利性单位。</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1、本项目不接受联合体参与采购活动。</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pStyle w:val="824"/>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4、查询及使用供应商信用记录：</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由采购人查询信用信息。</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查询渠道包括：</w:t>
            </w:r>
            <w:r/>
          </w:p>
          <w:p>
            <w:pPr>
              <w:pStyle w:val="824"/>
              <w:jc w:val="left"/>
              <w:spacing w:line="400" w:lineRule="exact"/>
              <w:tabs>
                <w:tab w:val="left" w:pos="6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24"/>
              <w:jc w:val="left"/>
              <w:spacing w:line="400" w:lineRule="exact"/>
              <w:tabs>
                <w:tab w:val="left" w:pos="6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③“信用江苏”网（www.jscredit.gov.cn）；</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④“信用中国（江苏徐州）”网</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http://www.xuzhoucredit.gov.cn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fldChar w:fldCharType="end"/>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截止时点（查询环节）：资格审查结束前。</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pStyle w:val="8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信用信息的使用规则：</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十一</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投标文件编制要求：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1、《开标一览表》（加盖电子签章，政府采购客户端工具输入报价自动生成）；</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分项价格表</w:t>
            </w:r>
            <w:r>
              <w:rPr>
                <w:rFonts w:hint="eastAsia" w:ascii="宋体" w:hAnsi="宋体" w:eastAsia="宋体" w:cs="宋体"/>
                <w:color w:val="auto"/>
                <w:sz w:val="24"/>
                <w:szCs w:val="24"/>
                <w:highlight w:val="none"/>
              </w:rPr>
              <w:t xml:space="preserve">》（提供原件的扫描件，格式见招标文件第七章《投标文件相关格式》）</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3、投标人的本项目开标时间前6个月内任何1个月的依法缴纳税收和社会保障资金的相关材料扫描件（依法免税或不需要缴纳社会保障资金的供应商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提供相应文件证明其依法免税或不需要缴纳社会保障资金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4、具备履行合同所必需的设备和专业技术能力的证明材料</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rPr>
              <w:t xml:space="preserve">即投标人根据本项目需求提供证明材料，</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6、提供的服务全部由符合政策要求的中小企业承接，提供《中小企业声明函》</w:t>
            </w:r>
            <w:r>
              <w:rPr>
                <w:rFonts w:hint="eastAsia" w:ascii="宋体" w:hAnsi="宋体" w:eastAsia="宋体" w:cs="宋体"/>
                <w:b/>
                <w:bCs/>
                <w:color w:val="auto"/>
                <w:sz w:val="24"/>
                <w:szCs w:val="24"/>
                <w:highlight w:val="none"/>
              </w:rPr>
              <w:t xml:space="preserve">（填写完整，加盖电子签章，格式见招标文件第七章《投标文件相关格式》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如不填写完整，视为无效）。</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注：监狱企业和残疾人福利性单位等同于小微企业。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、投标人信用信息（要求见本章条款项号“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内容）。</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1.《投标函》（加盖电子签章，格式见招标文件第七章《投标文件相关格式》。）；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《法定代表人授权书》（提供原件的扫描件，格式见招标文件第七章《投标文件相关格式》）</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）技术响应（加盖电子签章，格式见招标文件第七章《投标文件相关格式》。）</w:t>
            </w:r>
            <w:r>
              <w:rPr>
                <w:rFonts w:hint="eastAsia" w:ascii="宋体" w:hAnsi="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1.《偏离表》（加盖电子签章，格式见招标文件第七章《投标文件相关格式》。）</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资质认定能力</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投标人实力</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highlight w:val="none"/>
              </w:rPr>
              <w:t xml:space="preserve">业绩</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人员配置</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总体</w:t>
            </w:r>
            <w:r>
              <w:rPr>
                <w:rFonts w:hint="eastAsia" w:ascii="宋体" w:hAnsi="宋体" w:eastAsia="宋体" w:cs="宋体"/>
                <w:color w:val="auto"/>
                <w:sz w:val="24"/>
                <w:highlight w:val="none"/>
              </w:rPr>
              <w:t xml:space="preserve">实施方案</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val="en-US" w:eastAsia="zh-CN"/>
              </w:rPr>
              <w:t xml:space="preserve">监测</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highlight w:val="none"/>
                <w:lang w:val="en-US" w:eastAsia="zh-CN"/>
              </w:rPr>
              <w:t xml:space="preserve">技术及服务方案</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highlight w:val="none"/>
                <w:lang w:val="en-US" w:eastAsia="zh-CN"/>
              </w:rPr>
              <w:t xml:space="preserve">质控方案</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现场服务保障措施</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应急及异常情况处置措施</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en-US" w:eastAsia="zh-CN"/>
              </w:rPr>
              <w:t xml:space="preserve">售后服务承诺</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eastAsia="宋体" w:cs="宋体"/>
                <w:color w:val="auto"/>
                <w:sz w:val="24"/>
                <w:szCs w:val="24"/>
                <w:highlight w:val="none"/>
                <w:lang w:eastAsia="zh-CN"/>
              </w:rPr>
              <w:t xml:space="preserve">；</w:t>
            </w:r>
            <w:r/>
          </w:p>
          <w:p>
            <w:pP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响应时间承诺</w:t>
            </w:r>
            <w:r>
              <w:rPr>
                <w:rFonts w:hint="eastAsia" w:ascii="宋体" w:hAnsi="宋体" w:eastAsia="宋体" w:cs="宋体"/>
                <w:color w:val="auto"/>
                <w:sz w:val="24"/>
                <w:szCs w:val="24"/>
                <w:highlight w:val="none"/>
              </w:rPr>
              <w:t xml:space="preserve">（要求见招标文件第四章《评标标准》及第六章《采购需求》）</w:t>
            </w:r>
            <w:r>
              <w:rPr>
                <w:rFonts w:hint="eastAsia" w:ascii="宋体" w:hAnsi="宋体" w:cs="宋体"/>
                <w:color w:val="auto"/>
                <w:sz w:val="24"/>
                <w:szCs w:val="24"/>
                <w:highlight w:val="none"/>
                <w:lang w:eastAsia="zh-CN"/>
              </w:rPr>
              <w:t xml:space="preserve">。</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五、价格折扣文件格式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无。</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 《拟签订的合同文本》</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本文件第六章《采购需求》。</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本项目预算金额</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万</w:t>
            </w:r>
            <w:r>
              <w:rPr>
                <w:rFonts w:hint="eastAsia" w:ascii="宋体" w:hAnsi="宋体" w:eastAsia="宋体" w:cs="宋体"/>
                <w:bCs/>
                <w:color w:val="auto"/>
                <w:sz w:val="24"/>
                <w:szCs w:val="24"/>
                <w:highlight w:val="none"/>
              </w:rPr>
              <w:t xml:space="preserve">元人民币。</w:t>
            </w:r>
            <w:r>
              <w:rPr>
                <w:rFonts w:hint="eastAsia" w:ascii="宋体" w:hAnsi="宋体" w:eastAsia="宋体" w:cs="宋体"/>
                <w:b/>
                <w:bCs w:val="0"/>
                <w:color w:val="auto"/>
                <w:sz w:val="24"/>
                <w:szCs w:val="24"/>
                <w:highlight w:val="none"/>
                <w:lang w:eastAsia="zh-CN"/>
              </w:rPr>
              <w:t xml:space="preserve">报价包括但不限于人工、材料、机械、差旅、采样、检测、编制、评审、管理、利润、规费、税金等完成本项目的所有费用。采购人不再支付报价以外的任何费用。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十六</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（十七）2</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特别说明：通过“苏采云”系统提交政府采购客户端工具导出加密的投标文件（后缀名为zip）。投标文件的大小不得超过“苏采云”系统的设置。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十九</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jc w:val="left"/>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投标文件的提交与接收： </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1.投标文件提交与接收时间：提交投标文件截止时间</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2025年</w:t>
            </w:r>
            <w:r>
              <w:rPr>
                <w:rFonts w:hint="eastAsia" w:ascii="宋体" w:hAnsi="宋体" w:cs="宋体"/>
                <w:b/>
                <w:bCs/>
                <w:color w:val="auto"/>
                <w:sz w:val="24"/>
                <w:szCs w:val="24"/>
                <w:highlight w:val="none"/>
                <w:lang w:eastAsia="zh-CN"/>
              </w:rPr>
              <w:t xml:space="preserve">12月3日</w:t>
            </w:r>
            <w:r>
              <w:rPr>
                <w:rFonts w:hint="eastAsia" w:ascii="宋体" w:hAnsi="宋体" w:eastAsia="宋体" w:cs="宋体"/>
                <w:b/>
                <w:bCs/>
                <w:color w:val="auto"/>
                <w:sz w:val="24"/>
                <w:szCs w:val="24"/>
                <w:highlight w:val="none"/>
              </w:rPr>
              <w:t xml:space="preserve">09:30）前。</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bCs/>
                <w:color w:val="auto"/>
                <w:sz w:val="24"/>
                <w:szCs w:val="24"/>
                <w:highlight w:val="none"/>
                <w:lang w:eastAsia="zh-CN"/>
              </w:rPr>
              <w:t xml:space="preserve">2025年</w:t>
            </w:r>
            <w:r>
              <w:rPr>
                <w:rFonts w:hint="eastAsia" w:ascii="宋体" w:hAnsi="宋体" w:cs="宋体"/>
                <w:b/>
                <w:bCs/>
                <w:color w:val="auto"/>
                <w:sz w:val="24"/>
                <w:szCs w:val="24"/>
                <w:highlight w:val="none"/>
                <w:lang w:eastAsia="zh-CN"/>
              </w:rPr>
              <w:t xml:space="preserve">12月3日</w:t>
            </w:r>
            <w:r>
              <w:rPr>
                <w:rFonts w:hint="eastAsia" w:ascii="宋体" w:hAnsi="宋体" w:eastAsia="宋体" w:cs="宋体"/>
                <w:b/>
                <w:bCs/>
                <w:color w:val="auto"/>
                <w:sz w:val="24"/>
                <w:szCs w:val="24"/>
                <w:highlight w:val="none"/>
              </w:rPr>
              <w:t xml:space="preserve">09:30（标准时间）</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二十七</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二、采用综合评分法的，按评审后得分由高到低顺序排列。得分相同的，按投标报价由低到高顺序排列。得分且投标报价相同的，按整体服务方案得分顺序排列。</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4、启动异常低价投标（响应）审查后，评审委员会应当要求相关供应商在评标现场合理的时间内，通过“苏采云”系统（使用“CA数字证书”,加盖电子签章）</w:t>
            </w:r>
            <w:r>
              <w:rPr>
                <w:rFonts w:hint="eastAsia" w:ascii="宋体" w:hAnsi="宋体" w:eastAsia="宋体" w:cs="宋体"/>
                <w:b/>
                <w:bCs/>
                <w:color w:val="auto"/>
                <w:sz w:val="24"/>
                <w:szCs w:val="24"/>
                <w:highlight w:val="none"/>
                <w:lang w:val="en-US" w:eastAsia="zh-CN"/>
              </w:rPr>
              <w:t xml:space="preserve">提供项目具体成本测算等与报价合理性相关的书面说明及相关证明材料</w:t>
            </w:r>
            <w:r>
              <w:rPr>
                <w:rFonts w:hint="eastAsia" w:ascii="宋体" w:hAnsi="宋体" w:eastAsia="宋体" w:cs="宋体"/>
                <w:color w:val="auto"/>
                <w:sz w:val="24"/>
                <w:szCs w:val="24"/>
                <w:highlight w:val="none"/>
                <w:lang w:val="en-US" w:eastAsia="zh-CN"/>
              </w:rPr>
              <w:t xml:space="preserve">，对投标（响应）价格作出解释，由评审委员会</w:t>
            </w:r>
            <w:r>
              <w:rPr>
                <w:rFonts w:hint="eastAsia" w:ascii="宋体" w:hAnsi="宋体" w:eastAsia="宋体" w:cs="宋体"/>
                <w:b/>
                <w:bCs/>
                <w:color w:val="auto"/>
                <w:sz w:val="24"/>
                <w:szCs w:val="24"/>
                <w:highlight w:val="none"/>
                <w:lang w:val="en-US" w:eastAsia="zh-CN"/>
              </w:rPr>
              <w:t xml:space="preserve">结合同类产品在主要电商平台的价格、该行业当地薪资水平等情况</w:t>
            </w:r>
            <w:r>
              <w:rPr>
                <w:rFonts w:hint="eastAsia" w:ascii="宋体" w:hAnsi="宋体" w:eastAsia="宋体" w:cs="宋体"/>
                <w:color w:val="auto"/>
                <w:sz w:val="24"/>
                <w:szCs w:val="24"/>
                <w:highlight w:val="none"/>
                <w:lang w:val="en-US" w:eastAsia="zh-CN"/>
              </w:rPr>
              <w:t xml:space="preserve">，依据专业经验对供应商报价合理性进行判断。</w:t>
            </w:r>
            <w:r>
              <w:rPr>
                <w:rFonts w:hint="eastAsia" w:ascii="宋体" w:hAnsi="宋体" w:eastAsia="宋体" w:cs="宋体"/>
                <w:b/>
                <w:bCs/>
                <w:color w:val="auto"/>
                <w:sz w:val="24"/>
                <w:szCs w:val="24"/>
                <w:highlight w:val="none"/>
                <w:lang w:val="en-US" w:eastAsia="zh-CN"/>
              </w:rPr>
              <w:t xml:space="preserve">投标（响应）供应商不提供书面说明、证明材料，或者提供的书面说明、证明材料不能证明其报价合理性的，评审委员会应当将其作为无效投标（响应）处理。</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三十七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rHeight w:val="702"/>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pStyle w:val="112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履约保证金：</w:t>
            </w:r>
            <w:r>
              <w:rPr>
                <w:rFonts w:hint="eastAsia" w:ascii="宋体" w:hAnsi="宋体" w:eastAsia="宋体" w:cs="宋体"/>
                <w:color w:val="auto"/>
                <w:sz w:val="24"/>
                <w:szCs w:val="24"/>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四十一</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房盼盼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0516-83333882</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江苏省徐州市云龙区绿地商务城蓝海officeA座21楼</w:t>
            </w:r>
            <w:r/>
          </w:p>
        </w:tc>
      </w:tr>
      <w:tr>
        <w:trPr/>
        <w:tc>
          <w:tcPr>
            <w:tcBorders>
              <w:top w:val="single" w:color="000000" w:sz="4" w:space="0"/>
              <w:left w:val="single" w:color="000000" w:sz="4" w:space="0"/>
              <w:bottom w:val="single" w:color="000000" w:sz="4" w:space="0"/>
              <w:right w:val="single" w:color="000000" w:sz="4" w:space="0"/>
            </w:tcBorders>
            <w:tcW w:w="783" w:type="pc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4216" w:type="pct"/>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中标人在收到中标通知书时，须向采购代理机构提交《开标一览表》的数据文件（WORD格式）及纸质投标文件两本。</w:t>
            </w:r>
            <w:r/>
          </w:p>
        </w:tc>
      </w:tr>
    </w:tbl>
    <w:p>
      <w:pPr>
        <w:ind w:firstLine="600"/>
        <w:spacing w:line="240" w:lineRule="exact"/>
        <w:widowControl/>
        <w:rPr>
          <w:rFonts w:hint="eastAsia" w:ascii="宋体" w:hAnsi="宋体" w:eastAsia="宋体" w:cs="宋体"/>
          <w:color w:val="auto"/>
          <w:sz w:val="30"/>
          <w:szCs w:val="30"/>
          <w:highlight w:val="none"/>
        </w:rPr>
      </w:pPr>
      <w:r/>
      <w:bookmarkStart w:id="8" w:name="_Toc522790133"/>
      <w:r/>
      <w:r/>
    </w:p>
    <w:p>
      <w:pPr>
        <w:ind w:firstLine="0"/>
        <w:spacing w:line="520" w:lineRule="exact"/>
        <w:widowControl/>
        <w:rPr>
          <w:rFonts w:hint="eastAsia" w:ascii="宋体" w:hAnsi="宋体" w:eastAsia="宋体" w:cs="宋体"/>
          <w:b/>
          <w:color w:val="auto"/>
          <w:sz w:val="30"/>
          <w:szCs w:val="30"/>
          <w:highlight w:val="none"/>
        </w:rPr>
      </w:pPr>
      <w:r/>
      <w:bookmarkStart w:id="9" w:name="_Toc523404698"/>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本章附件：</w:t>
      </w:r>
      <w:r>
        <w:rPr>
          <w:rFonts w:hint="eastAsia" w:ascii="宋体" w:hAnsi="宋体" w:eastAsia="宋体" w:cs="宋体"/>
          <w:b/>
          <w:color w:val="auto"/>
          <w:sz w:val="30"/>
          <w:szCs w:val="30"/>
          <w:highlight w:val="none"/>
        </w:rPr>
        <w:t xml:space="preserve">招标代理服务收费标准</w:t>
      </w:r>
      <w:r/>
    </w:p>
    <w:p>
      <w:pPr>
        <w:ind w:firstLine="0"/>
        <w:spacing w:line="520" w:lineRule="exact"/>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782"/>
        <w:tblW w:w="6513"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blCellSpacing w:w="0" w:type="dxa"/>
          <w:trHeight w:val="524"/>
        </w:trPr>
        <w:tc>
          <w:tcPr>
            <w:shd w:val="clear" w:color="auto" w:fill="auto"/>
            <w:tcMar>
              <w:left w:w="108" w:type="dxa"/>
              <w:right w:w="108" w:type="dxa"/>
            </w:tcMar>
            <w:tcW w:w="4818" w:type="dxa"/>
            <w:vAlign w:val="center"/>
            <w:textDirection w:val="lrTb"/>
            <w:noWrap w:val="false"/>
          </w:tcPr>
          <w:p>
            <w:pPr>
              <w:pStyle w:val="808"/>
              <w:keepLines w:val="0"/>
              <w:keepNext w:val="0"/>
              <w:spacing w:before="153"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中标或者成交金额</w:t>
            </w:r>
            <w:r/>
          </w:p>
        </w:tc>
        <w:tc>
          <w:tcPr>
            <w:shd w:val="clear" w:color="auto" w:fill="auto"/>
            <w:tcMar>
              <w:left w:w="108" w:type="dxa"/>
              <w:right w:w="108" w:type="dxa"/>
            </w:tcMar>
            <w:tcW w:w="1695" w:type="dxa"/>
            <w:vAlign w:val="center"/>
            <w:textDirection w:val="lrTb"/>
            <w:noWrap w:val="false"/>
          </w:tcPr>
          <w:p>
            <w:pPr>
              <w:pStyle w:val="808"/>
              <w:keepLines w:val="0"/>
              <w:keepNext w:val="0"/>
              <w:spacing w:before="153"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费率</w:t>
            </w:r>
            <w:r/>
          </w:p>
        </w:tc>
      </w:tr>
      <w:tr>
        <w:trPr>
          <w:jc w:val="center"/>
          <w:tblCellSpacing w:w="0" w:type="dxa"/>
          <w:trHeight w:val="342"/>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53"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最低收费金额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每个委托项目</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154"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5000元</w:t>
            </w:r>
            <w:r/>
          </w:p>
        </w:tc>
      </w:tr>
      <w:tr>
        <w:trPr>
          <w:jc w:val="center"/>
          <w:tblCellSpacing w:w="0" w:type="dxa"/>
          <w:trHeight w:val="369"/>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64"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50万元以下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含50万元</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43"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1.6%</w:t>
            </w:r>
            <w:r/>
          </w:p>
        </w:tc>
      </w:tr>
      <w:tr>
        <w:trPr>
          <w:jc w:val="center"/>
          <w:tblCellSpacing w:w="0" w:type="dxa"/>
          <w:trHeight w:val="370"/>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65"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50-400万元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含400万元</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44"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1.5%</w:t>
            </w:r>
            <w:r/>
          </w:p>
        </w:tc>
      </w:tr>
      <w:tr>
        <w:trPr>
          <w:jc w:val="center"/>
          <w:tblCellSpacing w:w="0" w:type="dxa"/>
          <w:trHeight w:val="370"/>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66"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400-1000万元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含1000万元</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45"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w:t>
            </w:r>
            <w:r/>
          </w:p>
        </w:tc>
      </w:tr>
      <w:tr>
        <w:trPr>
          <w:jc w:val="center"/>
          <w:tblCellSpacing w:w="0" w:type="dxa"/>
          <w:trHeight w:val="527"/>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57"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1000-5000万元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含5000万元</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37"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0.8%</w:t>
            </w:r>
            <w:r/>
          </w:p>
        </w:tc>
      </w:tr>
      <w:tr>
        <w:trPr>
          <w:jc w:val="center"/>
          <w:tblCellSpacing w:w="0" w:type="dxa"/>
          <w:trHeight w:val="372"/>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68"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5000-1亿元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含1亿元</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48"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0.25%</w:t>
            </w:r>
            <w:r/>
          </w:p>
        </w:tc>
      </w:tr>
      <w:tr>
        <w:trPr>
          <w:jc w:val="center"/>
          <w:tblCellSpacing w:w="0" w:type="dxa"/>
          <w:trHeight w:val="372"/>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69"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1-10亿元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含10亿元</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49"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0.05%</w:t>
            </w:r>
            <w:r/>
          </w:p>
        </w:tc>
      </w:tr>
      <w:tr>
        <w:trPr>
          <w:jc w:val="center"/>
          <w:tblCellSpacing w:w="0" w:type="dxa"/>
          <w:trHeight w:val="367"/>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60"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10-50亿元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含50亿元</w:t>
            </w:r>
            <w:r>
              <w:rPr>
                <w:rFonts w:hint="eastAsia" w:ascii="宋体" w:hAnsi="宋体" w:eastAsia="宋体" w:cs="宋体"/>
                <w:color w:val="auto"/>
                <w:sz w:val="24"/>
                <w:szCs w:val="24"/>
                <w:highlight w:val="none"/>
                <w:lang w:eastAsia="zh-CN"/>
              </w:rPr>
              <w:t xml:space="preserve">）</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39"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0.01%</w:t>
            </w:r>
            <w:r/>
          </w:p>
        </w:tc>
      </w:tr>
      <w:tr>
        <w:trPr>
          <w:jc w:val="center"/>
          <w:tblCellSpacing w:w="0" w:type="dxa"/>
          <w:trHeight w:val="380"/>
        </w:trPr>
        <w:tc>
          <w:tcPr>
            <w:shd w:val="clear" w:color="auto" w:fill="auto"/>
            <w:tcMar>
              <w:left w:w="108" w:type="dxa"/>
              <w:right w:w="108" w:type="dxa"/>
            </w:tcMar>
            <w:tcW w:w="4818" w:type="dxa"/>
            <w:vAlign w:val="center"/>
            <w:textDirection w:val="lrTb"/>
            <w:noWrap w:val="false"/>
          </w:tcPr>
          <w:p>
            <w:pPr>
              <w:pStyle w:val="808"/>
              <w:ind w:left="114"/>
              <w:keepLines w:val="0"/>
              <w:keepNext w:val="0"/>
              <w:spacing w:before="172" w:beforeAutospacing="0" w:after="80" w:afterAutospacing="0" w:line="218"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50亿元以上</w:t>
            </w:r>
            <w:r/>
          </w:p>
        </w:tc>
        <w:tc>
          <w:tcPr>
            <w:shd w:val="clear" w:color="auto" w:fill="auto"/>
            <w:tcMar>
              <w:left w:w="108" w:type="dxa"/>
              <w:right w:w="108" w:type="dxa"/>
            </w:tcMar>
            <w:tcW w:w="1695" w:type="dxa"/>
            <w:vAlign w:val="center"/>
            <w:textDirection w:val="lrTb"/>
            <w:noWrap w:val="false"/>
          </w:tcPr>
          <w:p>
            <w:pPr>
              <w:pStyle w:val="808"/>
              <w:ind w:left="87"/>
              <w:keepLines w:val="0"/>
              <w:keepNext w:val="0"/>
              <w:spacing w:before="251" w:beforeAutospacing="0" w:after="80" w:afterAutospacing="0" w:line="182"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0.005%</w:t>
            </w:r>
            <w:r/>
          </w:p>
        </w:tc>
      </w:tr>
    </w:tbl>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 明 ：</w:t>
      </w:r>
      <w:r/>
    </w:p>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p>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按差额定率累进法计算的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=中标金额</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按差额定率累进法计算的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*费率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按差额定率 累进法计算的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的合计数。</w:t>
      </w:r>
      <w:r/>
    </w:p>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5.定点类等无金额或事先不能计算出价格总额的项目，按中标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成交</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金额100万元计算。</w:t>
      </w:r>
      <w:r/>
    </w:p>
    <w:p>
      <w:pPr>
        <w:ind w:firstLine="56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有分包</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分标段</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的按一个项目计算。</w:t>
      </w:r>
      <w:r/>
    </w:p>
    <w:p>
      <w:pPr>
        <w:ind w:firstLine="560"/>
        <w:widowControl/>
        <w:rPr>
          <w:rFonts w:hint="eastAsia" w:ascii="宋体" w:hAnsi="宋体" w:eastAsia="宋体" w:cs="宋体"/>
          <w:color w:val="auto"/>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以上价格为协会指导价，双方可根据项目难易程度和优质优价原则协商确定。</w:t>
      </w:r>
      <w:r/>
    </w:p>
    <w:p>
      <w:pPr>
        <w:numPr>
          <w:ilvl w:val="0"/>
          <w:numId w:val="1"/>
        </w:numPr>
        <w:ind w:firstLine="420"/>
        <w:jc w:val="center"/>
        <w:spacing w:line="520" w:lineRule="exact"/>
        <w:widowControl/>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bookmarkStart w:id="10" w:name="OLE_LINK8"/>
      <w:r>
        <w:rPr>
          <w:rFonts w:hint="eastAsia" w:ascii="宋体" w:hAnsi="宋体" w:eastAsia="宋体" w:cs="宋体"/>
          <w:b/>
          <w:bCs/>
          <w:color w:val="auto"/>
          <w:sz w:val="30"/>
          <w:szCs w:val="44"/>
          <w:highlight w:val="none"/>
        </w:rPr>
        <w:t xml:space="preserve"> 评标标准</w:t>
      </w:r>
      <w:bookmarkEnd w:id="8"/>
      <w:r/>
      <w:bookmarkEnd w:id="9"/>
      <w:r/>
      <w:bookmarkEnd w:id="10"/>
      <w:r/>
      <w:r/>
    </w:p>
    <w:tbl>
      <w:tblPr>
        <w:tblStyle w:val="782"/>
        <w:tblW w:w="10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1280"/>
        <w:gridCol w:w="8017"/>
      </w:tblGrid>
      <w:tr>
        <w:trPr>
          <w:jc w:val="center"/>
          <w:trHeight w:val="565"/>
        </w:trPr>
        <w:tc>
          <w:tcPr>
            <w:gridSpan w:val="2"/>
            <w:tcW w:w="249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评分项目</w:t>
            </w:r>
            <w:r/>
          </w:p>
        </w:tc>
        <w:tc>
          <w:tcPr>
            <w:tcW w:w="8017"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评分细则</w:t>
            </w:r>
            <w:r/>
          </w:p>
        </w:tc>
      </w:tr>
      <w:tr>
        <w:trPr>
          <w:jc w:val="center"/>
          <w:trHeight w:val="758"/>
        </w:trPr>
        <w:tc>
          <w:tcPr>
            <w:tcW w:w="121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价格部分</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(20分)</w:t>
            </w:r>
            <w:r/>
          </w:p>
        </w:tc>
        <w:tc>
          <w:tcPr>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价格</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(20分)</w:t>
            </w:r>
            <w:r/>
          </w:p>
        </w:tc>
        <w:tc>
          <w:tcPr>
            <w:tcW w:w="8017" w:type="dxa"/>
            <w:vAlign w:val="center"/>
            <w:textDirection w:val="lrTb"/>
            <w:noWrap w:val="false"/>
          </w:tcPr>
          <w:p>
            <w:pPr>
              <w:jc w:val="left"/>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采用低价优先法计算，即满足招标文件要求且投标人评审价格最低的投标报价为评标基准价，其价格得分为满分。</w:t>
            </w:r>
            <w:r/>
          </w:p>
          <w:p>
            <w:pPr>
              <w:jc w:val="left"/>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各投标人价格得分=最低报价 (投标人的最低评审价格) ÷各投标人评审价格×20。(按四舍五入取至小数点后两位)</w:t>
            </w:r>
            <w:r/>
          </w:p>
        </w:tc>
      </w:tr>
      <w:tr>
        <w:trPr>
          <w:jc w:val="center"/>
          <w:trHeight w:val="2823"/>
        </w:trPr>
        <w:tc>
          <w:tcPr>
            <w:tcW w:w="1210" w:type="dxa"/>
            <w:vAlign w:val="center"/>
            <w:vMerge w:val="restart"/>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商务部分(34分)</w:t>
            </w:r>
            <w:r/>
          </w:p>
        </w:tc>
        <w:tc>
          <w:tcPr>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资质认定能力</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(10分)</w:t>
            </w:r>
            <w:r/>
          </w:p>
        </w:tc>
        <w:tc>
          <w:tcPr>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投标人CMA资质认定能力应具备如下几点：</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环境及土壤类检测项目数少于或等于400项得1分；环境及土壤类检测项目数大于401项小于或等于500项得2分；环境及土壤类检测项目数大于501项小于或等于600项得4分；环境及土壤类检测项目数大于601项以上得6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(2)《地表水环境质量标准》（GB 3838-2002）中表1、2、3中所有监测项目检测能力者得2分，不具备者得0分；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(3)二噁英监测项目检测能力者得2分，不具备者得0分；</w:t>
            </w:r>
            <w:r/>
          </w:p>
          <w:p>
            <w:pPr>
              <w:jc w:val="both"/>
              <w:spacing w:line="28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本项最高得10分，电子投标文件中需提供以上认证证书彩色扫描件并加盖投标人电子签章，未提供不得分。</w:t>
            </w:r>
            <w:r/>
          </w:p>
        </w:tc>
      </w:tr>
      <w:tr>
        <w:trPr>
          <w:jc w:val="center"/>
          <w:trHeight w:val="3617"/>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280" w:type="dxa"/>
            <w:vAlign w:val="center"/>
            <w:textDirection w:val="lrTb"/>
            <w:noWrap w:val="false"/>
          </w:tcPr>
          <w:p>
            <w:pPr>
              <w:jc w:val="center"/>
              <w:spacing w:line="28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投标人实力</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（10分）</w:t>
            </w:r>
            <w:r/>
          </w:p>
        </w:tc>
        <w:tc>
          <w:tcPr>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w:t>
            </w:r>
            <w:r>
              <w:rPr>
                <w:rFonts w:hint="eastAsia" w:ascii="宋体" w:hAnsi="宋体" w:eastAsia="宋体" w:cs="宋体"/>
                <w:color w:val="auto"/>
                <w:sz w:val="24"/>
              </w:rPr>
              <w:t xml:space="preserve">投标人</w:t>
            </w:r>
            <w:r>
              <w:rPr>
                <w:rFonts w:hint="eastAsia" w:ascii="宋体" w:hAnsi="宋体" w:eastAsia="宋体" w:cs="宋体"/>
                <w:color w:val="auto"/>
                <w:sz w:val="24"/>
                <w:szCs w:val="24"/>
              </w:rPr>
              <w:t xml:space="preserve">具有在有效期内职业健康安全管理体系认证、环境管理体系认证、质量管理体系认证的每项得1分，本项最高得3分；</w:t>
            </w:r>
            <w:r/>
          </w:p>
          <w:p>
            <w:pPr>
              <w:jc w:val="both"/>
              <w:spacing w:line="2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rPr>
              <w:t xml:space="preserve">投标人</w:t>
            </w:r>
            <w:r>
              <w:rPr>
                <w:rFonts w:hint="eastAsia" w:ascii="宋体" w:hAnsi="宋体" w:eastAsia="宋体" w:cs="宋体"/>
                <w:color w:val="auto"/>
                <w:sz w:val="24"/>
                <w:szCs w:val="24"/>
              </w:rPr>
              <w:t xml:space="preserve">在省级社会环境检测机构信息管理平台已登记备案，投标文件中提供相关证明文件复印件或官方网站截图</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lang w:val="en-US" w:eastAsia="zh-CN"/>
              </w:rPr>
              <w:t xml:space="preserve">投标人</w:t>
            </w:r>
            <w:r>
              <w:rPr>
                <w:rFonts w:hint="eastAsia" w:ascii="宋体" w:hAnsi="宋体" w:eastAsia="宋体" w:cs="宋体"/>
                <w:b w:val="0"/>
                <w:bCs w:val="0"/>
                <w:color w:val="auto"/>
                <w:sz w:val="24"/>
                <w:szCs w:val="24"/>
                <w:highlight w:val="none"/>
              </w:rPr>
              <w:t xml:space="preserve">自有或控股或合作的实验室的</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lang w:val="en-US" w:eastAsia="zh-CN"/>
              </w:rPr>
              <w:t xml:space="preserve">投标</w:t>
            </w:r>
            <w:r>
              <w:rPr>
                <w:rFonts w:hint="eastAsia" w:ascii="宋体" w:hAnsi="宋体" w:eastAsia="宋体" w:cs="宋体"/>
                <w:b w:val="0"/>
                <w:bCs w:val="0"/>
                <w:color w:val="auto"/>
                <w:sz w:val="24"/>
                <w:szCs w:val="24"/>
              </w:rPr>
              <w:t xml:space="preserve">文件</w:t>
            </w:r>
            <w:r>
              <w:rPr>
                <w:rFonts w:hint="eastAsia" w:ascii="宋体" w:hAnsi="宋体" w:eastAsia="宋体" w:cs="宋体"/>
                <w:b w:val="0"/>
                <w:bCs w:val="0"/>
                <w:color w:val="auto"/>
                <w:sz w:val="24"/>
                <w:szCs w:val="24"/>
                <w:highlight w:val="none"/>
              </w:rPr>
              <w:t xml:space="preserve">中提供相关证明材料复印件，并附实验室平面图、主要仪器设备照片及详细介绍等</w:t>
            </w:r>
            <w:r>
              <w:rPr>
                <w:rFonts w:hint="eastAsia" w:ascii="宋体" w:hAnsi="宋体" w:cs="宋体"/>
                <w:b w:val="0"/>
                <w:bCs w:val="0"/>
                <w:color w:val="auto"/>
                <w:sz w:val="24"/>
                <w:szCs w:val="24"/>
                <w:highlight w:val="none"/>
                <w:lang w:eastAsia="zh-CN"/>
              </w:rPr>
              <w:t xml:space="preserve">）；</w:t>
            </w:r>
            <w:r/>
          </w:p>
          <w:p>
            <w:pPr>
              <w:ind w:left="0" w:firstLine="0"/>
              <w:jc w:val="both"/>
              <w:widowControl w:val="off"/>
              <w:rPr>
                <w:rFonts w:hint="eastAsia" w:ascii="Times New Roman" w:hAnsi="Times New Roman" w:eastAsia="宋体" w:cs="Times New Roman"/>
                <w:color w:val="auto"/>
                <w:sz w:val="21"/>
                <w:szCs w:val="24"/>
                <w:lang w:val="en-US"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b w:val="0"/>
                <w:bCs w:val="0"/>
                <w:color w:val="auto"/>
                <w:sz w:val="24"/>
                <w:szCs w:val="24"/>
                <w:lang w:val="en-US" w:eastAsia="zh-CN" w:bidi="ar-SA"/>
              </w:rPr>
              <w:t xml:space="preserve">投标人提供环境类监测报告，包括现场监测原始记录和分析原始记录以及质控措施等相关的资料。根据报告、原始记录具有规范性、完整性，未按要求提供报告的不得分。每提供一个得1分，本项最高得3分；</w:t>
            </w:r>
            <w:r/>
          </w:p>
          <w:p>
            <w:pPr>
              <w:jc w:val="both"/>
              <w:spacing w:line="2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不提供</w:t>
            </w:r>
            <w:r>
              <w:rPr>
                <w:rFonts w:hint="eastAsia" w:ascii="宋体" w:hAnsi="宋体" w:eastAsia="宋体" w:cs="宋体"/>
                <w:color w:val="auto"/>
                <w:sz w:val="24"/>
                <w:szCs w:val="24"/>
              </w:rPr>
              <w:t xml:space="preserve">得0分</w:t>
            </w:r>
            <w:r>
              <w:rPr>
                <w:rFonts w:hint="eastAsia" w:ascii="宋体" w:hAnsi="宋体" w:cs="宋体"/>
                <w:color w:val="auto"/>
                <w:sz w:val="24"/>
                <w:szCs w:val="24"/>
                <w:lang w:eastAsia="zh-CN"/>
              </w:rPr>
              <w:t xml:space="preserve">。</w:t>
            </w:r>
            <w:r/>
          </w:p>
          <w:p>
            <w:pPr>
              <w:jc w:val="both"/>
              <w:spacing w:line="28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本项最高得10分。电子投标文件中需提供以上备案信息及认证证书彩色扫描件，未提供不得分。</w:t>
            </w:r>
            <w:r/>
          </w:p>
        </w:tc>
      </w:tr>
      <w:tr>
        <w:trPr>
          <w:jc w:val="center"/>
          <w:trHeight w:val="1265"/>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lang w:val="en-US" w:eastAsia="zh-CN" w:bidi="ar-SA"/>
              </w:rPr>
              <w:t xml:space="preserve">业绩</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(4分)</w:t>
            </w:r>
            <w:r/>
          </w:p>
        </w:tc>
        <w:tc>
          <w:tcPr>
            <w:shd w:val="clear" w:color="auto" w:fill="auto"/>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年1月1日以来</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以合同签署日期为准)，</w:t>
            </w:r>
            <w:r>
              <w:rPr>
                <w:rFonts w:hint="eastAsia" w:ascii="宋体" w:hAnsi="宋体" w:cs="宋体"/>
                <w:color w:val="auto"/>
                <w:sz w:val="24"/>
                <w:szCs w:val="24"/>
                <w:lang w:val="en-US" w:eastAsia="zh-CN"/>
              </w:rPr>
              <w:t xml:space="preserve">投标人为乙方，合同内容为</w:t>
            </w:r>
            <w:r>
              <w:rPr>
                <w:rFonts w:hint="eastAsia" w:ascii="宋体" w:hAnsi="宋体" w:eastAsia="宋体" w:cs="宋体"/>
                <w:color w:val="000000"/>
                <w:sz w:val="24"/>
                <w:szCs w:val="24"/>
              </w:rPr>
              <w:t xml:space="preserve">与</w:t>
            </w:r>
            <w:r>
              <w:rPr>
                <w:rFonts w:hint="eastAsia" w:ascii="宋体" w:hAnsi="宋体" w:eastAsia="宋体" w:cs="宋体"/>
                <w:color w:val="000000"/>
                <w:sz w:val="24"/>
                <w:szCs w:val="24"/>
                <w:lang w:val="en-US" w:eastAsia="zh-CN"/>
              </w:rPr>
              <w:t xml:space="preserve">本项目</w:t>
            </w:r>
            <w:r>
              <w:rPr>
                <w:rFonts w:hint="eastAsia" w:ascii="宋体" w:hAnsi="宋体" w:eastAsia="宋体" w:cs="宋体"/>
                <w:color w:val="000000"/>
                <w:sz w:val="24"/>
                <w:szCs w:val="24"/>
              </w:rPr>
              <w:t xml:space="preserve">相同或类似</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的业绩</w:t>
            </w:r>
            <w:r>
              <w:rPr>
                <w:rFonts w:hint="eastAsia" w:ascii="宋体" w:hAnsi="宋体" w:eastAsia="宋体" w:cs="宋体"/>
                <w:color w:val="auto"/>
                <w:sz w:val="24"/>
                <w:szCs w:val="24"/>
              </w:rPr>
              <w:t xml:space="preserve">，每1个合同得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w:t>
            </w:r>
            <w:r>
              <w:rPr>
                <w:rFonts w:hint="eastAsia" w:ascii="宋体" w:hAnsi="宋体" w:cs="宋体"/>
                <w:color w:val="auto"/>
                <w:sz w:val="24"/>
                <w:szCs w:val="24"/>
                <w:lang w:val="en-US" w:eastAsia="zh-CN"/>
              </w:rPr>
              <w:t xml:space="preserve">高</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jc w:val="both"/>
              <w:spacing w:line="280" w:lineRule="exact"/>
              <w:widowControl w:val="off"/>
              <w:rPr>
                <w:rFonts w:hint="eastAsia"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rPr>
              <w:t xml:space="preserve">本</w:t>
            </w:r>
            <w:r>
              <w:rPr>
                <w:rFonts w:hint="eastAsia" w:ascii="宋体" w:hAnsi="宋体" w:eastAsia="宋体" w:cs="宋体"/>
                <w:b/>
                <w:color w:val="auto"/>
                <w:sz w:val="24"/>
                <w:szCs w:val="24"/>
              </w:rPr>
              <w:t xml:space="preserve">项最高</w:t>
            </w:r>
            <w:r>
              <w:rPr>
                <w:rFonts w:hint="eastAsia" w:ascii="宋体" w:hAnsi="宋体" w:eastAsia="宋体" w:cs="宋体"/>
                <w:b/>
                <w:color w:val="auto"/>
                <w:sz w:val="24"/>
              </w:rPr>
              <w:t xml:space="preserve">得</w:t>
            </w:r>
            <w:r>
              <w:rPr>
                <w:rFonts w:hint="eastAsia" w:ascii="宋体" w:hAnsi="宋体" w:cs="宋体"/>
                <w:b/>
                <w:color w:val="auto"/>
                <w:sz w:val="24"/>
                <w:szCs w:val="24"/>
                <w:lang w:val="en-US" w:eastAsia="zh-CN"/>
              </w:rPr>
              <w:t xml:space="preserve">4</w:t>
            </w:r>
            <w:r>
              <w:rPr>
                <w:rFonts w:hint="eastAsia" w:ascii="宋体" w:hAnsi="宋体" w:eastAsia="宋体" w:cs="宋体"/>
                <w:b/>
                <w:color w:val="auto"/>
                <w:sz w:val="24"/>
                <w:szCs w:val="24"/>
              </w:rPr>
              <w:t xml:space="preserve">分。电子</w:t>
            </w:r>
            <w:r>
              <w:rPr>
                <w:rFonts w:hint="eastAsia" w:ascii="宋体" w:hAnsi="宋体" w:eastAsia="宋体" w:cs="宋体"/>
                <w:b/>
                <w:color w:val="auto"/>
                <w:sz w:val="24"/>
                <w:szCs w:val="24"/>
                <w:lang w:val="en-US" w:eastAsia="zh-CN"/>
              </w:rPr>
              <w:t xml:space="preserve">投标文件中</w:t>
            </w:r>
            <w:r>
              <w:rPr>
                <w:rFonts w:hint="eastAsia" w:ascii="宋体" w:hAnsi="宋体" w:eastAsia="宋体" w:cs="宋体"/>
                <w:b/>
                <w:color w:val="auto"/>
                <w:sz w:val="24"/>
                <w:szCs w:val="24"/>
              </w:rPr>
              <w:t xml:space="preserve">需</w:t>
            </w:r>
            <w:r>
              <w:rPr>
                <w:rFonts w:hint="eastAsia" w:ascii="宋体" w:hAnsi="宋体" w:eastAsia="宋体" w:cs="宋体"/>
                <w:b/>
                <w:color w:val="auto"/>
                <w:sz w:val="24"/>
                <w:szCs w:val="24"/>
                <w:lang w:val="en-US" w:eastAsia="zh-CN"/>
              </w:rPr>
              <w:t xml:space="preserve">提供合同原件和中标通知书原件扫描件，并加盖投标人电子签章。不提供或提供内容模糊不清该项不得分。</w:t>
            </w:r>
            <w:r/>
          </w:p>
        </w:tc>
      </w:tr>
      <w:tr>
        <w:trPr>
          <w:jc w:val="center"/>
          <w:trHeight w:val="3017"/>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技术人员配置</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(10分)</w:t>
            </w:r>
            <w:r/>
          </w:p>
        </w:tc>
        <w:tc>
          <w:tcPr>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技术人员配置：具有在有效期内CMA体系考核认可培训证书（包括但不限于行业信用专员、质量管理人、技术负责人、内审员、管评员等）的在职人员少于或等于6人不得分，大于6人少于或等于12人得2分，大于12人小于或等于18人得4分。此项最高得4分。 </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(2)技术人员职称：有环境类、化工类高级工程师每人得1分，此项最高3分；有环境类、化工类工程师每人得0.5分，此项最高3分。此项合计最高得6分。</w:t>
            </w:r>
            <w:r/>
          </w:p>
          <w:p>
            <w:pPr>
              <w:jc w:val="both"/>
              <w:spacing w:line="28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本项最高得10分。投标时电子投标文件中需提供以上人员近6个月以来的社保缴纳证明、有效期内CMA体系考核认可培训证书原件、职称原件及上岗证彩色扫描件，未提供不得分。</w:t>
            </w:r>
            <w:r/>
          </w:p>
        </w:tc>
      </w:tr>
      <w:tr>
        <w:trPr>
          <w:jc w:val="center"/>
          <w:trHeight w:val="1265"/>
        </w:trPr>
        <w:tc>
          <w:tcPr>
            <w:tcW w:w="1210" w:type="dxa"/>
            <w:vAlign w:val="center"/>
            <w:vMerge w:val="restart"/>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技术部分(46分)</w:t>
            </w:r>
            <w:r/>
          </w:p>
        </w:tc>
        <w:tc>
          <w:tcPr>
            <w:shd w:val="clear" w:color="auto" w:fill="auto"/>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总体实施方案</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（8分）</w:t>
            </w:r>
            <w:r/>
          </w:p>
        </w:tc>
        <w:tc>
          <w:tcPr>
            <w:shd w:val="clear" w:color="auto" w:fill="auto"/>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根据投标文件中提供的项目总体实施方案设计的合理性、完整性、规范性进行评分(包括但不限于组织管理体系、工作流程、实施时间计划、主要人员配备、仪器设备投入等)：</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(1)方案内容齐全（含以上所有内容）、结构完整，满足项目需要，具有很好的科学性和合理性，可操作性强，得8分；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(2)方案内容基本齐全（含以上部分内容）、结构基本完整，基本满足项目需要，具有较好的科学性和合理性，基本具有可操作性，得5分；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(3)方案内容有重大缺失、结构不够完整，不能满足项目需要，科学性和合理性较差，不具有可操作性，得3分；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不提供得0分。</w:t>
            </w:r>
            <w:r/>
          </w:p>
        </w:tc>
      </w:tr>
      <w:tr>
        <w:trPr>
          <w:jc w:val="center"/>
          <w:trHeight w:val="1265"/>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监测方案</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（8分）</w:t>
            </w:r>
            <w:r/>
          </w:p>
        </w:tc>
        <w:tc>
          <w:tcPr>
            <w:shd w:val="clear" w:color="auto" w:fill="auto"/>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根据投标文件中提供的项目监测方案的规范性、针对性、完整性进行评分：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(1)方案内容完整规范，对饮用水源地水质及污染源监督（执法）监测有较强的针对性，具有很好的科学性和合理性，可操作性强，得8分；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(2)方案内容基本完整、基本规范，与饮用水源地水质及污染源监督（执法）监测有一定的针对性，具有较好的科学性和合理性，基本具有可操作性，得5分；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(3)方案内容有缺失，针对性、科学性和合理性一般，可操作性一般，得3分；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不提供得0分。</w:t>
            </w:r>
            <w:r/>
          </w:p>
        </w:tc>
      </w:tr>
      <w:tr>
        <w:trPr>
          <w:jc w:val="center"/>
          <w:trHeight w:val="1301"/>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技术及服务案</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（5分）</w:t>
            </w:r>
            <w:r/>
          </w:p>
        </w:tc>
        <w:tc>
          <w:tcPr>
            <w:shd w:val="clear" w:color="auto" w:fill="auto"/>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根据投标文件中提供的技术方案及服务方案对监测区域的掌握是否充分、准确提出的方案的合理性、可行性、规范性进行评分：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de-DE" w:eastAsia="zh-CN" w:bidi="ar-SA"/>
              </w:rPr>
              <w:t xml:space="preserve">方案的</w:t>
            </w:r>
            <w:r>
              <w:rPr>
                <w:rFonts w:hint="eastAsia" w:ascii="宋体" w:hAnsi="宋体" w:eastAsia="宋体" w:cs="宋体"/>
                <w:color w:val="auto"/>
                <w:sz w:val="24"/>
                <w:szCs w:val="24"/>
                <w:lang w:val="en-US" w:eastAsia="zh-CN" w:bidi="ar-SA"/>
              </w:rPr>
              <w:t xml:space="preserve">合理、可行、规范得5分；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de-DE" w:eastAsia="zh-CN" w:bidi="ar-SA"/>
              </w:rPr>
              <w:t xml:space="preserve">方案的</w:t>
            </w:r>
            <w:r>
              <w:rPr>
                <w:rFonts w:hint="eastAsia" w:ascii="宋体" w:hAnsi="宋体" w:eastAsia="宋体" w:cs="宋体"/>
                <w:color w:val="auto"/>
                <w:sz w:val="24"/>
                <w:szCs w:val="24"/>
                <w:lang w:val="en-US" w:eastAsia="zh-CN" w:bidi="ar-SA"/>
              </w:rPr>
              <w:t xml:space="preserve">合理性、可行性、规范性较好得3分；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de-DE" w:eastAsia="zh-CN" w:bidi="ar-SA"/>
              </w:rPr>
              <w:t xml:space="preserve">方案的</w:t>
            </w:r>
            <w:r>
              <w:rPr>
                <w:rFonts w:hint="eastAsia" w:ascii="宋体" w:hAnsi="宋体" w:eastAsia="宋体" w:cs="宋体"/>
                <w:color w:val="auto"/>
                <w:sz w:val="24"/>
                <w:szCs w:val="24"/>
                <w:lang w:val="en-US" w:eastAsia="zh-CN" w:bidi="ar-SA"/>
              </w:rPr>
              <w:t xml:space="preserve">合理性、可行性、规范性一般得1分；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未提供不得分。</w:t>
            </w:r>
            <w:r/>
          </w:p>
        </w:tc>
      </w:tr>
      <w:tr>
        <w:trPr>
          <w:jc w:val="center"/>
          <w:trHeight w:val="1400"/>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质控方案</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(5分)</w:t>
            </w:r>
            <w:r/>
          </w:p>
        </w:tc>
        <w:tc>
          <w:tcPr>
            <w:shd w:val="clear" w:color="auto" w:fill="auto"/>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根据投标文件中提供的质控方案(不限于质控规范性、针对性、完整性等)进行评分： </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(1)方案内容完整、质控规范、针对性强得5分；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(2)方案内容较完整、质控规范一般、针对性较强得3分；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(3)方案内容一般、质控规范不完善、无针对内容得1分；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不提供得0分。</w:t>
            </w:r>
            <w:r/>
          </w:p>
        </w:tc>
      </w:tr>
      <w:tr>
        <w:trPr>
          <w:jc w:val="center"/>
          <w:trHeight w:val="1265"/>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现场服务保障措施（5分）</w:t>
            </w:r>
            <w:r/>
          </w:p>
        </w:tc>
        <w:tc>
          <w:tcPr>
            <w:shd w:val="clear" w:color="auto" w:fill="auto"/>
            <w:tcW w:w="8017" w:type="dxa"/>
            <w:vAlign w:val="center"/>
            <w:textDirection w:val="lrTb"/>
            <w:noWrap w:val="false"/>
          </w:tcPr>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根据投标文件中提供的现场服务保障措施方案的完整性、合理性、可行性进行评分(不限于现场人员分配、车辆保障、样品运输等)：</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(1)方案内容完整，保障、运输措施完善得5分；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(2)方案内容比较完整，保障、运输措施比较完善得3分；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(3)方案内容一般，保障、运输措施不完善得1分；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不提供得0分。</w:t>
            </w:r>
            <w:r/>
          </w:p>
        </w:tc>
      </w:tr>
      <w:tr>
        <w:trPr>
          <w:jc w:val="center"/>
          <w:trHeight w:val="1265"/>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shd w:val="clear" w:color="auto" w:fill="auto"/>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应急及异常情况处置措施</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（5分）</w:t>
            </w:r>
            <w:r/>
          </w:p>
        </w:tc>
        <w:tc>
          <w:tcPr>
            <w:shd w:val="clear" w:color="auto" w:fill="auto"/>
            <w:tcW w:w="8017" w:type="dxa"/>
            <w:vAlign w:val="center"/>
            <w:textDirection w:val="lrTb"/>
            <w:noWrap w:val="false"/>
          </w:tcPr>
          <w:p>
            <w:pPr>
              <w:jc w:val="left"/>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根据投标文件中提供的应急及异常情况处置措施的合理性、可行性进行评分（可提供完整案例）：</w:t>
            </w:r>
            <w:r/>
          </w:p>
          <w:p>
            <w:pPr>
              <w:jc w:val="left"/>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措施合理、内容全面、切实可行得5分；</w:t>
            </w:r>
            <w:r/>
          </w:p>
          <w:p>
            <w:pPr>
              <w:jc w:val="left"/>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措施较合理、内容较全面、基本可行得3分；</w:t>
            </w:r>
            <w:r/>
          </w:p>
          <w:p>
            <w:pPr>
              <w:jc w:val="left"/>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措施合理性一般、内容一般、可行性一般得1分；</w:t>
            </w:r>
            <w:r/>
          </w:p>
          <w:p>
            <w:pPr>
              <w:jc w:val="left"/>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不提供得0分。</w:t>
            </w:r>
            <w:r/>
          </w:p>
        </w:tc>
      </w:tr>
      <w:tr>
        <w:trPr>
          <w:jc w:val="center"/>
          <w:trHeight w:val="279"/>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售后服务承诺</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(5分)</w:t>
            </w:r>
            <w:r/>
          </w:p>
        </w:tc>
        <w:tc>
          <w:tcPr>
            <w:tcW w:w="8017" w:type="dxa"/>
            <w:vAlign w:val="center"/>
            <w:textDirection w:val="lrTb"/>
            <w:noWrap w:val="false"/>
          </w:tcPr>
          <w:p>
            <w:pPr>
              <w:numPr>
                <w:ilvl w:val="0"/>
                <w:numId w:val="0"/>
              </w:numPr>
              <w:jc w:val="lef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根据投标文件中提供的售后服务的合理性、可行性及针对性进行评分：</w:t>
            </w:r>
            <w:r/>
          </w:p>
          <w:p>
            <w:pPr>
              <w:jc w:val="both"/>
              <w:spacing w:line="2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内容全面</w:t>
            </w:r>
            <w:r>
              <w:rPr>
                <w:rFonts w:hint="eastAsia" w:ascii="宋体" w:hAnsi="宋体" w:eastAsia="宋体" w:cs="宋体"/>
                <w:color w:val="auto"/>
                <w:sz w:val="24"/>
                <w:szCs w:val="24"/>
                <w:lang w:val="en-US" w:eastAsia="zh-CN"/>
              </w:rPr>
              <w:t xml:space="preserve">合理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切实可行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符合特点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得5分； </w:t>
            </w:r>
            <w:r/>
          </w:p>
          <w:p>
            <w:pPr>
              <w:jc w:val="both"/>
              <w:spacing w:line="2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内容较全面</w:t>
            </w:r>
            <w:r>
              <w:rPr>
                <w:rFonts w:hint="eastAsia" w:ascii="宋体" w:hAnsi="宋体" w:eastAsia="宋体" w:cs="宋体"/>
                <w:color w:val="auto"/>
                <w:sz w:val="24"/>
                <w:szCs w:val="24"/>
                <w:lang w:val="en-US" w:eastAsia="zh-CN"/>
              </w:rPr>
              <w:t xml:space="preserve">合理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基本可行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针对性较强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得3分；</w:t>
            </w:r>
            <w:r/>
          </w:p>
          <w:p>
            <w:pPr>
              <w:jc w:val="both"/>
              <w:spacing w:line="2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内容一般，可行性一般，针对性一般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得1分。</w:t>
            </w:r>
            <w:r/>
          </w:p>
          <w:p>
            <w:pPr>
              <w:jc w:val="both"/>
              <w:spacing w:line="28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不提供得0分</w:t>
            </w:r>
            <w:r>
              <w:rPr>
                <w:rFonts w:hint="eastAsia" w:ascii="宋体" w:hAnsi="宋体" w:cs="宋体"/>
                <w:color w:val="auto"/>
                <w:sz w:val="24"/>
                <w:lang w:eastAsia="zh-CN"/>
              </w:rPr>
              <w:t xml:space="preserve">。</w:t>
            </w:r>
            <w:r/>
          </w:p>
        </w:tc>
      </w:tr>
      <w:tr>
        <w:trPr>
          <w:jc w:val="center"/>
          <w:trHeight w:val="1885"/>
        </w:trPr>
        <w:tc>
          <w:tcPr>
            <w:tcW w:w="1210" w:type="dxa"/>
            <w:vMerge w:val="continue"/>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1280" w:type="dxa"/>
            <w:vAlign w:val="center"/>
            <w:textDirection w:val="lrTb"/>
            <w:noWrap w:val="false"/>
          </w:tcPr>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响应时间承诺</w:t>
            </w:r>
            <w:r/>
          </w:p>
          <w:p>
            <w:pPr>
              <w:jc w:val="center"/>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（5分）</w:t>
            </w:r>
            <w:r/>
          </w:p>
        </w:tc>
        <w:tc>
          <w:tcPr>
            <w:tcW w:w="8017" w:type="dxa"/>
            <w:vAlign w:val="center"/>
            <w:textDirection w:val="lrTb"/>
            <w:noWrap w:val="false"/>
          </w:tcPr>
          <w:p>
            <w:pPr>
              <w:jc w:val="both"/>
              <w:spacing w:line="28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投标人应具有较强的服务能力，能在特殊情况下提供持续性服务。根据投标文件中提供的响应时间承诺进行评分：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承诺1个小时之内到达现场开展工作的，得5分；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承诺1.5个小时之内到达现场开展工作的，得3分；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承诺2个小时之内到达现场开展工作的，得1分；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承诺其余时间的，得0分。</w:t>
            </w:r>
            <w:r/>
          </w:p>
          <w:p>
            <w:pPr>
              <w:jc w:val="both"/>
              <w:spacing w:line="2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中标后需签订响应时间服务承诺书。</w:t>
            </w:r>
            <w:r/>
          </w:p>
        </w:tc>
      </w:tr>
    </w:tbl>
    <w:p>
      <w:pPr>
        <w:pStyle w:val="818"/>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本章说明：本项目采用综合评分法，评分结果精确到小数点后两位。</w:t>
      </w:r>
      <w:r/>
    </w:p>
    <w:p>
      <w:pPr>
        <w:pStyle w:val="818"/>
        <w:ind w:firstLine="482"/>
        <w:jc w:val="left"/>
        <w:keepLines w:val="0"/>
        <w:keepNext w:val="0"/>
        <w:pageBreakBefore w:val="0"/>
        <w:widowControl w:val="off"/>
        <w:rPr>
          <w:rFonts w:hint="default" w:ascii="宋体" w:hAnsi="宋体" w:eastAsia="宋体" w:cs="宋体"/>
          <w:b/>
          <w:bCs/>
          <w:color w:val="auto"/>
          <w:sz w:val="24"/>
          <w:szCs w:val="24"/>
          <w:highlight w:val="none"/>
          <w:lang w:eastAsia="zh-CN"/>
        </w:rPr>
      </w:pPr>
      <w:r>
        <w:rPr>
          <w:rFonts w:hint="default" w:ascii="宋体" w:hAnsi="宋体" w:eastAsia="宋体" w:cs="宋体"/>
          <w:b/>
          <w:bCs/>
          <w:color w:val="auto"/>
          <w:sz w:val="24"/>
          <w:szCs w:val="24"/>
          <w:highlight w:val="none"/>
          <w:lang w:eastAsia="zh-CN"/>
        </w:rPr>
        <w:t xml:space="preserve">注：（</w:t>
      </w:r>
      <w:r>
        <w:rPr>
          <w:rFonts w:hint="default"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eastAsia="zh-CN"/>
        </w:rPr>
        <w:t xml:space="preserve">）采购人有权对中标人以上内容进行复核，如发现存在弄虚作假或其它不符招标文件要求的行为，将取消中标资格。</w:t>
      </w:r>
      <w:r/>
    </w:p>
    <w:p>
      <w:pPr>
        <w:pStyle w:val="818"/>
        <w:ind w:firstLine="482"/>
        <w:jc w:val="left"/>
        <w:keepLines w:val="0"/>
        <w:keepNext w:val="0"/>
        <w:pageBreakBefore w:val="0"/>
        <w:widowControl w:val="off"/>
        <w:rPr>
          <w:rFonts w:hint="default" w:ascii="宋体" w:hAnsi="宋体" w:eastAsia="宋体" w:cs="宋体"/>
          <w:b/>
          <w:bCs/>
          <w:color w:val="auto"/>
          <w:sz w:val="24"/>
          <w:szCs w:val="24"/>
          <w:highlight w:val="none"/>
          <w:lang w:eastAsia="zh-CN"/>
        </w:rPr>
      </w:pPr>
      <w:r>
        <w:rPr>
          <w:rFonts w:hint="default"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2</w:t>
      </w:r>
      <w:r>
        <w:rPr>
          <w:rFonts w:hint="default" w:ascii="宋体" w:hAnsi="宋体" w:eastAsia="宋体" w:cs="宋体"/>
          <w:b/>
          <w:bCs/>
          <w:color w:val="auto"/>
          <w:sz w:val="24"/>
          <w:szCs w:val="24"/>
          <w:highlight w:val="none"/>
          <w:lang w:eastAsia="zh-CN"/>
        </w:rPr>
        <w:t xml:space="preserve">）以上上传的所有扫描件，均为原件的彩色扫描件，扫描件必须内容清晰可见，如无法辨识不予认可。</w:t>
      </w:r>
      <w:r/>
    </w:p>
    <w:p>
      <w:pPr>
        <w:pStyle w:val="821"/>
        <w:rPr>
          <w:rFonts w:hint="eastAsia"/>
        </w:rPr>
      </w:pPr>
      <w:r>
        <w:rPr>
          <w:rFonts w:hint="eastAsia"/>
        </w:rPr>
      </w:r>
      <w:r/>
    </w:p>
    <w:p>
      <w:pPr>
        <w:jc w:val="left"/>
        <w:rPr>
          <w:rFonts w:hint="eastAsia" w:ascii="宋体" w:hAnsi="宋体" w:eastAsia="宋体" w:cs="宋体"/>
          <w:color w:val="auto"/>
          <w:sz w:val="28"/>
          <w:szCs w:val="28"/>
          <w:highlight w:val="none"/>
        </w:rPr>
      </w:pPr>
      <w:r/>
      <w:bookmarkStart w:id="11" w:name="_Toc522790134"/>
      <w:r/>
      <w:bookmarkStart w:id="12" w:name="_Toc523404699"/>
      <w:r>
        <w:rPr>
          <w:rFonts w:hint="eastAsia" w:ascii="宋体" w:hAnsi="宋体" w:eastAsia="宋体" w:cs="宋体"/>
          <w:color w:val="auto"/>
          <w:highlight w:val="none"/>
        </w:rPr>
        <w:br w:type="page" w:clear="all"/>
      </w:r>
      <w:bookmarkEnd w:id="11"/>
      <w:r/>
      <w:bookmarkEnd w:id="12"/>
      <w:r/>
      <w:bookmarkStart w:id="13" w:name="_Toc522790135"/>
      <w:r/>
      <w:bookmarkStart w:id="14" w:name="_Toc523404700"/>
      <w:r/>
      <w:r/>
    </w:p>
    <w:p>
      <w:pPr>
        <w:jc w:val="center"/>
        <w:keepLines/>
        <w:keepNext/>
        <w:spacing w:line="578" w:lineRule="auto"/>
        <w:widowControl w:val="off"/>
        <w:rPr>
          <w:rFonts w:hint="eastAsia" w:ascii="宋体" w:hAnsi="宋体" w:eastAsia="宋体" w:cs="宋体"/>
          <w:b/>
          <w:bCs/>
          <w:color w:val="auto"/>
          <w:sz w:val="30"/>
          <w:szCs w:val="44"/>
          <w:lang w:val="en-US" w:eastAsia="zh-CN" w:bidi="ar-SA"/>
        </w:rPr>
        <w:outlineLvl w:val="0"/>
      </w:pPr>
      <w:r/>
      <w:bookmarkStart w:id="15" w:name="_Toc14780"/>
      <w:r>
        <w:rPr>
          <w:rFonts w:hint="eastAsia" w:ascii="宋体" w:hAnsi="宋体" w:eastAsia="宋体" w:cs="宋体"/>
          <w:b/>
          <w:bCs/>
          <w:color w:val="auto"/>
          <w:sz w:val="30"/>
          <w:szCs w:val="44"/>
          <w:lang w:val="en-US" w:eastAsia="zh-CN" w:bidi="ar-SA"/>
        </w:rPr>
        <w:t xml:space="preserve">第五章  拟签订的合同文本</w:t>
      </w:r>
      <w:bookmarkEnd w:id="15"/>
      <w:r/>
      <w:r/>
    </w:p>
    <w:p>
      <w:pPr>
        <w:jc w:val="both"/>
        <w:keepLines w:val="0"/>
        <w:keepNext w:val="0"/>
        <w:pageBreakBefore w:val="0"/>
        <w:spacing w:after="0" w:line="460" w:lineRule="exact"/>
        <w:widowControl w:val="off"/>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r>
      <w:r/>
    </w:p>
    <w:p>
      <w:pPr>
        <w:jc w:val="both"/>
        <w:keepLines w:val="0"/>
        <w:keepNext w:val="0"/>
        <w:pageBreakBefore w:val="0"/>
        <w:spacing w:after="0" w:line="460" w:lineRule="exact"/>
        <w:widowControl w:val="off"/>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项目名称：</w:t>
      </w:r>
      <w:r/>
    </w:p>
    <w:p>
      <w:pPr>
        <w:jc w:val="both"/>
        <w:keepLines w:val="0"/>
        <w:keepNext w:val="0"/>
        <w:pageBreakBefore w:val="0"/>
        <w:spacing w:after="0" w:line="460" w:lineRule="exact"/>
        <w:widowControl w:val="off"/>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项目编号：</w:t>
      </w:r>
      <w:r/>
    </w:p>
    <w:p>
      <w:pPr>
        <w:jc w:val="center"/>
        <w:spacing w:after="120"/>
        <w:widowControl w:val="off"/>
        <w:rPr>
          <w:rFonts w:hint="eastAsia" w:ascii="宋体" w:hAnsi="宋体" w:eastAsia="宋体" w:cs="宋体"/>
          <w:color w:val="auto"/>
          <w:sz w:val="48"/>
          <w:szCs w:val="48"/>
          <w:lang w:eastAsia="zh-CN"/>
        </w:rPr>
      </w:pPr>
      <w:r>
        <w:rPr>
          <w:rFonts w:hint="eastAsia" w:ascii="宋体" w:hAnsi="宋体" w:eastAsia="宋体" w:cs="宋体"/>
          <w:color w:val="auto"/>
          <w:sz w:val="48"/>
          <w:szCs w:val="48"/>
          <w:lang w:eastAsia="zh-CN"/>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center"/>
        <w:spacing w:after="120"/>
        <w:widowControl w:val="off"/>
        <w:rPr>
          <w:rFonts w:hint="eastAsia" w:ascii="宋体" w:hAnsi="宋体" w:eastAsia="宋体" w:cs="宋体"/>
          <w:color w:val="auto"/>
          <w:sz w:val="48"/>
          <w:szCs w:val="48"/>
          <w:lang w:eastAsia="zh-CN"/>
        </w:rPr>
      </w:pPr>
      <w:r>
        <w:rPr>
          <w:rFonts w:hint="eastAsia" w:ascii="宋体" w:hAnsi="宋体" w:eastAsia="宋体" w:cs="宋体"/>
          <w:color w:val="auto"/>
          <w:sz w:val="48"/>
          <w:szCs w:val="48"/>
          <w:lang w:eastAsia="zh-CN"/>
        </w:rPr>
        <w:t xml:space="preserve">政</w:t>
      </w:r>
      <w:r/>
    </w:p>
    <w:p>
      <w:pPr>
        <w:jc w:val="center"/>
        <w:spacing w:after="120"/>
        <w:widowControl w:val="off"/>
        <w:rPr>
          <w:rFonts w:hint="eastAsia" w:ascii="宋体" w:hAnsi="宋体" w:eastAsia="宋体" w:cs="宋体"/>
          <w:color w:val="auto"/>
          <w:sz w:val="48"/>
          <w:szCs w:val="48"/>
          <w:lang w:eastAsia="zh-CN"/>
        </w:rPr>
      </w:pPr>
      <w:r>
        <w:rPr>
          <w:rFonts w:hint="eastAsia" w:ascii="宋体" w:hAnsi="宋体" w:eastAsia="宋体" w:cs="宋体"/>
          <w:color w:val="auto"/>
          <w:sz w:val="48"/>
          <w:szCs w:val="48"/>
          <w:lang w:eastAsia="zh-CN"/>
        </w:rPr>
        <w:t xml:space="preserve">府</w:t>
      </w:r>
      <w:r/>
    </w:p>
    <w:p>
      <w:pPr>
        <w:jc w:val="center"/>
        <w:spacing w:after="120"/>
        <w:widowControl w:val="off"/>
        <w:rPr>
          <w:rFonts w:hint="eastAsia" w:ascii="宋体" w:hAnsi="宋体" w:eastAsia="宋体" w:cs="宋体"/>
          <w:color w:val="auto"/>
          <w:sz w:val="48"/>
          <w:szCs w:val="48"/>
          <w:lang w:eastAsia="zh-CN"/>
        </w:rPr>
      </w:pPr>
      <w:r>
        <w:rPr>
          <w:rFonts w:hint="eastAsia" w:ascii="宋体" w:hAnsi="宋体" w:eastAsia="宋体" w:cs="宋体"/>
          <w:color w:val="auto"/>
          <w:sz w:val="48"/>
          <w:szCs w:val="48"/>
          <w:lang w:eastAsia="zh-CN"/>
        </w:rPr>
        <w:t xml:space="preserve">采</w:t>
      </w:r>
      <w:r/>
    </w:p>
    <w:p>
      <w:pPr>
        <w:jc w:val="center"/>
        <w:spacing w:after="120"/>
        <w:widowControl w:val="off"/>
        <w:rPr>
          <w:rFonts w:hint="eastAsia" w:ascii="宋体" w:hAnsi="宋体" w:eastAsia="宋体" w:cs="宋体"/>
          <w:color w:val="auto"/>
          <w:sz w:val="48"/>
          <w:szCs w:val="48"/>
          <w:lang w:eastAsia="zh-CN"/>
        </w:rPr>
      </w:pPr>
      <w:r>
        <w:rPr>
          <w:rFonts w:hint="eastAsia" w:ascii="宋体" w:hAnsi="宋体" w:eastAsia="宋体" w:cs="宋体"/>
          <w:color w:val="auto"/>
          <w:sz w:val="48"/>
          <w:szCs w:val="48"/>
          <w:lang w:eastAsia="zh-CN"/>
        </w:rPr>
        <w:t xml:space="preserve">购</w:t>
      </w:r>
      <w:r/>
    </w:p>
    <w:p>
      <w:pPr>
        <w:jc w:val="center"/>
        <w:spacing w:after="120"/>
        <w:widowControl w:val="off"/>
        <w:rPr>
          <w:rFonts w:hint="eastAsia" w:ascii="宋体" w:hAnsi="宋体" w:eastAsia="宋体" w:cs="宋体"/>
          <w:color w:val="auto"/>
          <w:sz w:val="48"/>
          <w:szCs w:val="48"/>
          <w:lang w:eastAsia="zh-CN"/>
        </w:rPr>
      </w:pPr>
      <w:r>
        <w:rPr>
          <w:rFonts w:hint="eastAsia" w:ascii="宋体" w:hAnsi="宋体" w:eastAsia="宋体" w:cs="宋体"/>
          <w:color w:val="auto"/>
          <w:sz w:val="48"/>
          <w:szCs w:val="48"/>
          <w:lang w:eastAsia="zh-CN"/>
        </w:rPr>
        <w:t xml:space="preserve">合</w:t>
      </w:r>
      <w:r/>
    </w:p>
    <w:p>
      <w:pPr>
        <w:jc w:val="center"/>
        <w:spacing w:after="120"/>
        <w:widowControl w:val="off"/>
        <w:rPr>
          <w:rFonts w:hint="eastAsia" w:ascii="宋体" w:hAnsi="宋体" w:eastAsia="宋体" w:cs="宋体"/>
          <w:color w:val="auto"/>
          <w:sz w:val="48"/>
          <w:szCs w:val="48"/>
          <w:highlight w:val="yellow"/>
          <w:lang w:eastAsia="zh-CN"/>
        </w:rPr>
      </w:pPr>
      <w:r>
        <w:rPr>
          <w:rFonts w:hint="eastAsia" w:ascii="宋体" w:hAnsi="宋体" w:eastAsia="宋体" w:cs="宋体"/>
          <w:color w:val="auto"/>
          <w:sz w:val="48"/>
          <w:szCs w:val="48"/>
          <w:lang w:eastAsia="zh-CN"/>
        </w:rPr>
        <w:t xml:space="preserve">同</w:t>
      </w:r>
      <w:r/>
    </w:p>
    <w:p>
      <w:pPr>
        <w:jc w:val="both"/>
        <w:spacing w:after="120"/>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both"/>
        <w:keepLines w:val="0"/>
        <w:keepNext w:val="0"/>
        <w:pageBreakBefore w:val="0"/>
        <w:spacing w:after="0" w:line="46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pacing w:val="0"/>
          <w:sz w:val="28"/>
          <w:szCs w:val="28"/>
          <w:lang w:eastAsia="zh-CN"/>
        </w:rPr>
        <w:t xml:space="preserve">甲方（采购单位）：</w:t>
      </w:r>
      <w:r/>
    </w:p>
    <w:p>
      <w:pPr>
        <w:jc w:val="both"/>
        <w:keepLines w:val="0"/>
        <w:keepNext w:val="0"/>
        <w:pageBreakBefore w:val="0"/>
        <w:spacing w:after="0" w:line="46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乙方（中标单位）：</w:t>
      </w:r>
      <w:r/>
    </w:p>
    <w:p>
      <w:pPr>
        <w:jc w:val="both"/>
        <w:keepLines w:val="0"/>
        <w:keepNext w:val="0"/>
        <w:pageBreakBefore w:val="0"/>
        <w:spacing w:after="0" w:line="46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pacing w:val="140"/>
          <w:sz w:val="28"/>
          <w:szCs w:val="28"/>
          <w:lang w:eastAsia="zh-CN"/>
        </w:rPr>
        <w:t xml:space="preserve">签订日期</w:t>
      </w:r>
      <w:r>
        <w:rPr>
          <w:rFonts w:hint="eastAsia" w:ascii="宋体" w:hAnsi="宋体" w:eastAsia="宋体" w:cs="宋体"/>
          <w:color w:val="auto"/>
          <w:spacing w:val="0"/>
          <w:sz w:val="28"/>
          <w:szCs w:val="28"/>
          <w:lang w:eastAsia="zh-CN"/>
        </w:rPr>
        <w:t xml:space="preserve">：</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年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日</w:t>
      </w:r>
      <w:r/>
    </w:p>
    <w:p>
      <w:pPr>
        <w:jc w:val="both"/>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both"/>
        <w:spacing w:after="120"/>
        <w:widowControl w:val="off"/>
        <w:rPr>
          <w:rFonts w:hint="eastAsia" w:ascii="Calibri" w:hAnsi="Calibri" w:eastAsia="宋体" w:cs="Times New Roman"/>
          <w:sz w:val="21"/>
          <w:szCs w:val="24"/>
          <w:lang w:eastAsia="zh-CN"/>
        </w:rPr>
      </w:pPr>
      <w:r>
        <w:rPr>
          <w:rFonts w:hint="eastAsia" w:ascii="Calibri" w:hAnsi="Calibri" w:eastAsia="宋体" w:cs="Times New Roman"/>
          <w:sz w:val="21"/>
          <w:szCs w:val="24"/>
          <w:lang w:eastAsia="zh-CN"/>
        </w:rPr>
      </w:r>
      <w:r/>
    </w:p>
    <w:p>
      <w:pPr>
        <w:ind w:firstLine="480"/>
        <w:jc w:val="both"/>
        <w:keepLines w:val="0"/>
        <w:keepNext w:val="0"/>
        <w:pageBreakBefore w:val="0"/>
        <w:spacing w:after="0"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after="0" w:line="4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br w:type="page" w:clear="all"/>
      </w:r>
      <w:r/>
    </w:p>
    <w:p>
      <w:pPr>
        <w:jc w:val="both"/>
        <w:keepLines w:val="0"/>
        <w:keepNext w:val="0"/>
        <w:pageBreakBefore w:val="0"/>
        <w:spacing w:line="440" w:lineRule="exact"/>
        <w:widowControl w:val="off"/>
        <w:rPr>
          <w:rFonts w:hint="default"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甲方：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jc w:val="both"/>
        <w:keepLines w:val="0"/>
        <w:keepNext w:val="0"/>
        <w:pageBreakBefore w:val="0"/>
        <w:spacing w:after="0" w:line="440" w:lineRule="exact"/>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u w:val="single"/>
          <w:lang w:val="en-US" w:eastAsia="zh-CN"/>
        </w:rPr>
        <w:t xml:space="preserve">                      </w:t>
      </w:r>
      <w:r/>
    </w:p>
    <w:p>
      <w:pPr>
        <w:ind w:firstLine="56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项目招标采购的结果，甲方将</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项目</w:t>
      </w:r>
      <w:r>
        <w:rPr>
          <w:rFonts w:hint="eastAsia" w:ascii="宋体" w:hAnsi="宋体" w:eastAsia="宋体" w:cs="宋体"/>
          <w:color w:val="auto"/>
          <w:sz w:val="24"/>
          <w:szCs w:val="24"/>
          <w:lang w:val="en-US" w:eastAsia="zh-CN" w:bidi="ar-SA"/>
        </w:rPr>
        <w:t xml:space="preserve">（项目编号：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）采购包委托给乙方。根据《中华人民共和国民法典》、《中华人民共和国政府采购法》及有关法律、法规，在自愿、平等、协商一致的基础上，甲乙双方恪守公平、公正、诚信的原则，签订本合同。</w:t>
      </w:r>
      <w:r/>
    </w:p>
    <w:p>
      <w:pPr>
        <w:numPr>
          <w:ilvl w:val="0"/>
          <w:numId w:val="2"/>
        </w:numPr>
        <w:ind w:firstLine="480"/>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服务范围及内容</w:t>
      </w:r>
      <w:r/>
    </w:p>
    <w:p>
      <w:pPr>
        <w:numPr>
          <w:ilvl w:val="0"/>
          <w:numId w:val="0"/>
        </w:num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乙方根据甲方需求，提供下列服务：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1、服务内容：</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2、服务期限：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二、合同价及结算方式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1、合同总价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）。经双方协商一致，选择以下第（     ）种付款方式:</w:t>
      </w:r>
      <w:r/>
    </w:p>
    <w:p>
      <w:pPr>
        <w:ind w:firstLine="56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付款方式一：提交预付款保函的</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合同总价的百分之</w:t>
      </w:r>
      <w:r>
        <w:rPr>
          <w:rFonts w:hint="eastAsia" w:ascii="宋体" w:hAnsi="宋体" w:eastAsia="宋体" w:cs="宋体"/>
          <w:color w:val="auto"/>
          <w:sz w:val="24"/>
          <w:szCs w:val="24"/>
          <w:u w:val="single"/>
          <w:lang w:val="en-US" w:eastAsia="zh-CN" w:bidi="ar-SA"/>
        </w:rPr>
        <w:t xml:space="preserve"> 五十 </w:t>
      </w:r>
      <w:r>
        <w:rPr>
          <w:rFonts w:hint="eastAsia" w:ascii="宋体" w:hAnsi="宋体" w:eastAsia="宋体" w:cs="宋体"/>
          <w:color w:val="auto"/>
          <w:sz w:val="24"/>
          <w:szCs w:val="24"/>
          <w:lang w:val="en-US" w:eastAsia="zh-CN" w:bidi="ar-SA"/>
        </w:rPr>
        <w:t xml:space="preserve">(50%)即￥</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w:t>
      </w:r>
      <w:r>
        <w:rPr>
          <w:rFonts w:hint="eastAsia" w:ascii="宋体" w:hAnsi="宋体" w:eastAsia="宋体" w:cs="宋体"/>
          <w:color w:val="auto"/>
          <w:sz w:val="24"/>
          <w:szCs w:val="24"/>
          <w:lang w:val="en-US" w:eastAsia="zh-CN" w:bidi="ar-SA"/>
        </w:rPr>
        <w:t xml:space="preserve">在合同签订生效15日内，乙方向甲方出具等额预付款保函后，办理政府采购资金结算手续，经审核后支付给乙方。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合同总价的百分之</w:t>
      </w:r>
      <w:r>
        <w:rPr>
          <w:rFonts w:hint="eastAsia" w:ascii="宋体" w:hAnsi="宋体" w:eastAsia="宋体" w:cs="宋体"/>
          <w:color w:val="auto"/>
          <w:sz w:val="24"/>
          <w:szCs w:val="24"/>
          <w:u w:val="single"/>
          <w:lang w:val="en-US" w:eastAsia="zh-CN" w:bidi="ar-SA"/>
        </w:rPr>
        <w:t xml:space="preserve"> 五十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50</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，在乙方完成全部委托任务后并验收合格后，甲方自收到发票（发票金额为合同总价的</w:t>
      </w:r>
      <w:r>
        <w:rPr>
          <w:rFonts w:hint="eastAsia" w:ascii="宋体" w:hAnsi="宋体" w:eastAsia="宋体" w:cs="宋体"/>
          <w:color w:val="auto"/>
          <w:sz w:val="24"/>
          <w:szCs w:val="24"/>
          <w:u w:val="single"/>
          <w:lang w:val="en-US" w:eastAsia="zh-CN" w:bidi="ar-SA"/>
        </w:rPr>
        <w:t xml:space="preserve">100</w:t>
      </w:r>
      <w:r>
        <w:rPr>
          <w:rFonts w:hint="eastAsia" w:ascii="宋体" w:hAnsi="宋体" w:eastAsia="宋体" w:cs="宋体"/>
          <w:color w:val="auto"/>
          <w:sz w:val="24"/>
          <w:szCs w:val="24"/>
          <w:lang w:val="en-US" w:eastAsia="zh-CN" w:bidi="ar-SA"/>
        </w:rPr>
        <w:t xml:space="preserve">%）后</w:t>
      </w:r>
      <w:r>
        <w:rPr>
          <w:rFonts w:hint="eastAsia" w:ascii="宋体" w:hAnsi="宋体" w:eastAsia="宋体" w:cs="宋体"/>
          <w:color w:val="auto"/>
          <w:sz w:val="24"/>
          <w:szCs w:val="24"/>
          <w:u w:val="single"/>
          <w:lang w:val="en-US" w:eastAsia="zh-CN" w:bidi="ar-SA"/>
        </w:rPr>
        <w:t xml:space="preserve">15日</w:t>
      </w:r>
      <w:r>
        <w:rPr>
          <w:rFonts w:hint="eastAsia" w:ascii="宋体" w:hAnsi="宋体" w:eastAsia="宋体" w:cs="宋体"/>
          <w:color w:val="auto"/>
          <w:sz w:val="24"/>
          <w:szCs w:val="24"/>
          <w:lang w:val="en-US" w:eastAsia="zh-CN" w:bidi="ar-SA"/>
        </w:rPr>
        <w:t xml:space="preserve">内，办理政府采购资金结算手续，经审核后支付给乙方。</w:t>
      </w:r>
      <w:r/>
    </w:p>
    <w:p>
      <w:pPr>
        <w:ind w:firstLine="56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付款方式二：不提交预付款保函的</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合同总价的百分之</w:t>
      </w:r>
      <w:r>
        <w:rPr>
          <w:rFonts w:hint="eastAsia" w:ascii="宋体" w:hAnsi="宋体" w:eastAsia="宋体" w:cs="宋体"/>
          <w:color w:val="auto"/>
          <w:sz w:val="24"/>
          <w:szCs w:val="24"/>
          <w:u w:val="single"/>
          <w:lang w:val="en-US" w:eastAsia="zh-CN" w:bidi="ar-SA"/>
        </w:rPr>
        <w:t xml:space="preserve"> 五十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50</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w:t>
      </w:r>
      <w:r>
        <w:rPr>
          <w:rFonts w:hint="eastAsia" w:ascii="宋体" w:hAnsi="宋体" w:eastAsia="宋体" w:cs="宋体"/>
          <w:color w:val="auto"/>
          <w:sz w:val="24"/>
          <w:szCs w:val="24"/>
          <w:lang w:val="en-US" w:eastAsia="zh-CN" w:bidi="ar-SA"/>
        </w:rPr>
        <w:t xml:space="preserve">在合同签订生效，甲方自收到发票（发票金额为合同总价的</w:t>
      </w:r>
      <w:r>
        <w:rPr>
          <w:rFonts w:hint="eastAsia" w:ascii="宋体" w:hAnsi="宋体" w:eastAsia="宋体" w:cs="宋体"/>
          <w:color w:val="auto"/>
          <w:sz w:val="24"/>
          <w:szCs w:val="24"/>
          <w:u w:val="single"/>
          <w:lang w:val="en-US" w:eastAsia="zh-CN" w:bidi="ar-SA"/>
        </w:rPr>
        <w:t xml:space="preserve">50</w:t>
      </w:r>
      <w:r>
        <w:rPr>
          <w:rFonts w:hint="eastAsia" w:ascii="宋体" w:hAnsi="宋体" w:eastAsia="宋体" w:cs="宋体"/>
          <w:color w:val="auto"/>
          <w:sz w:val="24"/>
          <w:szCs w:val="24"/>
          <w:lang w:val="en-US" w:eastAsia="zh-CN" w:bidi="ar-SA"/>
        </w:rPr>
        <w:t xml:space="preserve">%）后</w:t>
      </w:r>
      <w:r>
        <w:rPr>
          <w:rFonts w:hint="eastAsia" w:ascii="宋体" w:hAnsi="宋体" w:eastAsia="宋体" w:cs="宋体"/>
          <w:color w:val="auto"/>
          <w:sz w:val="24"/>
          <w:szCs w:val="24"/>
          <w:u w:val="single"/>
          <w:lang w:val="en-US" w:eastAsia="zh-CN" w:bidi="ar-SA"/>
        </w:rPr>
        <w:t xml:space="preserve">15日</w:t>
      </w:r>
      <w:r>
        <w:rPr>
          <w:rFonts w:hint="eastAsia" w:ascii="宋体" w:hAnsi="宋体" w:eastAsia="宋体" w:cs="宋体"/>
          <w:color w:val="auto"/>
          <w:sz w:val="24"/>
          <w:szCs w:val="24"/>
          <w:lang w:val="en-US" w:eastAsia="zh-CN" w:bidi="ar-SA"/>
        </w:rPr>
        <w:t xml:space="preserve">内，办理政府采购资金结算手续，经审核后支付给乙方。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合同总价的百分之</w:t>
      </w:r>
      <w:r>
        <w:rPr>
          <w:rFonts w:hint="eastAsia" w:ascii="宋体" w:hAnsi="宋体" w:eastAsia="宋体" w:cs="宋体"/>
          <w:color w:val="auto"/>
          <w:sz w:val="24"/>
          <w:szCs w:val="24"/>
          <w:u w:val="single"/>
          <w:lang w:val="en-US" w:eastAsia="zh-CN" w:bidi="ar-SA"/>
        </w:rPr>
        <w:t xml:space="preserve"> 五十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50</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，在乙方完成全部委托任务后并验收合格后，甲方自收到发票（发票金额为合同总价的</w:t>
      </w:r>
      <w:r>
        <w:rPr>
          <w:rFonts w:hint="eastAsia" w:ascii="宋体" w:hAnsi="宋体" w:eastAsia="宋体" w:cs="宋体"/>
          <w:color w:val="auto"/>
          <w:sz w:val="24"/>
          <w:szCs w:val="24"/>
          <w:u w:val="single"/>
          <w:lang w:val="en-US" w:eastAsia="zh-CN" w:bidi="ar-SA"/>
        </w:rPr>
        <w:t xml:space="preserve">50</w:t>
      </w:r>
      <w:r>
        <w:rPr>
          <w:rFonts w:hint="eastAsia" w:ascii="宋体" w:hAnsi="宋体" w:eastAsia="宋体" w:cs="宋体"/>
          <w:color w:val="auto"/>
          <w:sz w:val="24"/>
          <w:szCs w:val="24"/>
          <w:lang w:val="en-US" w:eastAsia="zh-CN" w:bidi="ar-SA"/>
        </w:rPr>
        <w:t xml:space="preserve">%）后</w:t>
      </w:r>
      <w:r>
        <w:rPr>
          <w:rFonts w:hint="eastAsia" w:ascii="宋体" w:hAnsi="宋体" w:eastAsia="宋体" w:cs="宋体"/>
          <w:color w:val="auto"/>
          <w:sz w:val="24"/>
          <w:szCs w:val="24"/>
          <w:u w:val="single"/>
          <w:lang w:val="en-US" w:eastAsia="zh-CN" w:bidi="ar-SA"/>
        </w:rPr>
        <w:t xml:space="preserve">15日</w:t>
      </w:r>
      <w:r>
        <w:rPr>
          <w:rFonts w:hint="eastAsia" w:ascii="宋体" w:hAnsi="宋体" w:eastAsia="宋体" w:cs="宋体"/>
          <w:color w:val="auto"/>
          <w:sz w:val="24"/>
          <w:szCs w:val="24"/>
          <w:lang w:val="en-US" w:eastAsia="zh-CN" w:bidi="ar-SA"/>
        </w:rPr>
        <w:t xml:space="preserve">内，办理政府采购资金结算手续，经审核后支付给乙方。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乙方要求付款应提供以下资料：乙方开具的正式发票。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2、在招标文件未列明，而是乙方履行本合同必需的费用也包含在合同总价中。</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3、本合同服务内容还应包括除采购包外的徐州市环境监测中心及各县区站安排的不超过</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万元（含</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万元）的临时（应急）监测任务。</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ind w:firstLine="480"/>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三、质量要求、技术标准及服务承诺</w:t>
      </w:r>
      <w:r/>
    </w:p>
    <w:p>
      <w:pPr>
        <w:ind w:firstLine="480"/>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u w:val="none"/>
          <w:lang w:val="en-US" w:eastAsia="zh-CN" w:bidi="ar-SA"/>
        </w:rPr>
        <w:t xml:space="preserve">具体见招标文件及乙方投标文件[项目编号：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 xml:space="preserve">]</w:t>
      </w:r>
      <w:r>
        <w:rPr>
          <w:rFonts w:hint="eastAsia" w:ascii="宋体" w:hAnsi="宋体" w:eastAsia="宋体" w:cs="宋体"/>
          <w:color w:val="auto"/>
          <w:sz w:val="24"/>
          <w:szCs w:val="24"/>
          <w:lang w:val="en-US" w:eastAsia="zh-CN" w:bidi="ar-SA"/>
        </w:rPr>
        <w:t xml:space="preserve">。</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四、组成本合同的有关文件</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1、乙方应按招标文件规定的时间向甲方提供服务的有关技术资料。</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没有经甲方书面同意，乙方不得将由甲方提供的有关合同或任何合同条文或资料（包括但不限于项目数据、技术信息、商业秘密等）提供给任何其他人。即使向履行本合同有关的人员提供，也应注意保密并限于履行合同的必需范围。</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3、关于本项目招标文件、投标文件或与本次采购活动方式相适应的文件及有关附件是本合同不可分割的组成部分，这些文件包括但不限于：</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（1）招标文件；（2）投标文件；（3）项目组人员表；（4）技术参数、商务条款响应及偏离表；（5）服务承诺；（6）中标（成交）通知书；（7）甲乙双方补充协议；</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五、交付和验收</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1、乙方应当在合同签订后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天内完成服务事项，招标文件有约定的，从其约定。</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在交付前，乙方应作出全面检查和对验收文件进行整理，并列出清单，作为甲方初验收和使用的技术条件依据，检验的结果交甲方。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2、验收标准：按招标文件的要求及乙方投标文件的承诺，并不低于国家相关标准。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对于乙方要交付的服务，甲乙双方须在</w:t>
      </w:r>
      <w:r>
        <w:rPr>
          <w:rFonts w:hint="eastAsia" w:ascii="宋体" w:hAnsi="宋体" w:eastAsia="宋体" w:cs="宋体"/>
          <w:color w:val="auto"/>
          <w:sz w:val="24"/>
          <w:szCs w:val="24"/>
          <w:u w:val="single"/>
          <w:lang w:val="en-US" w:eastAsia="zh-CN" w:bidi="ar-SA"/>
        </w:rPr>
        <w:t xml:space="preserve">  5  </w:t>
      </w:r>
      <w:r>
        <w:rPr>
          <w:rFonts w:hint="eastAsia" w:ascii="宋体" w:hAnsi="宋体" w:eastAsia="宋体" w:cs="宋体"/>
          <w:color w:val="auto"/>
          <w:sz w:val="24"/>
          <w:szCs w:val="24"/>
          <w:lang w:val="en-US" w:eastAsia="zh-CN" w:bidi="ar-SA"/>
        </w:rPr>
        <w:t xml:space="preserve">工作日内初验收，甲方对乙方提交的服务依据招标文件上的技术要求和国家有关质量标准进行现场初步验收，符合招标文件技术要求的给予签收，初步验收不合格的不予签收。</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3、乙方按照招标文件要求培训甲方的相关人员，乙方在甲方使用前进行调试，调试直到符合技术要求的甲方才做最终验收。</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5、甲乙双方关于调试和验收的其他约定：</w:t>
      </w:r>
      <w:r>
        <w:rPr>
          <w:rFonts w:hint="eastAsia" w:ascii="宋体" w:hAnsi="宋体" w:eastAsia="宋体" w:cs="宋体"/>
          <w:color w:val="auto"/>
          <w:sz w:val="24"/>
          <w:szCs w:val="24"/>
          <w:u w:val="single"/>
          <w:lang w:val="en-US" w:eastAsia="zh-CN" w:bidi="ar-SA"/>
        </w:rPr>
        <w:t xml:space="preserve">  无  </w:t>
      </w:r>
      <w:r>
        <w:rPr>
          <w:rFonts w:hint="eastAsia" w:ascii="宋体" w:hAnsi="宋体" w:eastAsia="宋体" w:cs="宋体"/>
          <w:color w:val="auto"/>
          <w:sz w:val="24"/>
          <w:szCs w:val="24"/>
          <w:lang w:val="en-US" w:eastAsia="zh-CN" w:bidi="ar-SA"/>
        </w:rPr>
        <w:t xml:space="preserve">。</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六、质量保证及售后服务</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1、乙方应按招标文件规定及投标文件承诺的技术性能、技术要求、质量标准向甲方提供服务；若无特殊说明，则按国家有关部门最新颁布的标准及规范为准。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2、乙方应保证其提供的服务是全面和规范的，并完全符合招标文件。如因乙方提供的服务有瑕疵造成甲方损失的，所需费用由乙方承担。</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3、如在使用过程中发生质量问题，乙方在接到甲方通知后在</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小时内到达甲方现场。</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七、甲乙双方的权利和义务</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（一）甲方权利</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1、甲方有权要求乙方按合同规定提供服务。</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2、乙方违反合同任何条款，甲方有权提前3天以书面形式通知乙方终止本合同。</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3、甲方在项目结束后，有权要求乙方提供招标文件和合同要求中约定的全部资料。</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4、甲方委托乙方研究形成的报告及相应成果知识产权归甲方所有。</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5、对乙方工作进度、质量进行督查，甲方有权按合同约定要求乙方调整进度。</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（二）甲方义务</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1、甲方必须遵守本合同之规定及相关法律规定。</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2、甲方应尽可能向乙方提供可靠、详细的资料，并保证资料的真实性、准确性。</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3、未经乙方书面同意，甲方不得向任何第三方提供审核项目的信息。</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4、对乙方开展的项目提供必要的协助和指导。</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5、按合同约定进度及时向乙方支付项目费用。</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（三）乙方权利</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1、乙方有权要求甲方遵守本合同规定及其附件。</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2、乙方有权要求甲方按合同约定的时间支付相关费用。</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（四）乙方义务</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1、乙方必须遵守本合同之规定及相关法律规定。</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2、乙方不得拒绝甲方委托乙方研究内容的相关咨询，对甲方的咨询乙方必须给予正式的书面答复，并应具有科学性和适用性。</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3、乙方按照本合同及招标文件和乙方的投标文件为甲方提供服务工作，乙方需要对项目组成员进行调整时，须书面征得甲方同意。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4、非经甲方书面同意，乙方不得向任何第三方透露项目的任何内容。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5、乙方不得向任何第三方透露从甲方得到或研究发现的甲方内部信息。</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6、乙方人员在甲方活动时，需听从甲方有关人员安排和引导。</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7、甲方提出收回向乙方提供的有关资料时，乙方应按照甲方要求将有关资料及其复制件返还甲方。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8、在甲方统筹协调下开展实施方案前期调研和资料收集工作。</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9、乙方按照合同约定进度和质量要求完成项目。</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10、合同规定期限内，乙方完成项目时，提交成果文本文件、电子文件等。</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11、乙方保留收集的客观资料。</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12、乙方完成本协议工作内容所发生的人工、住宿、交通、餐饮等费用由乙方承担。</w:t>
      </w:r>
      <w:r/>
    </w:p>
    <w:p>
      <w:pPr>
        <w:ind w:firstLine="480"/>
        <w:jc w:val="both"/>
        <w:keepLines w:val="0"/>
        <w:keepNext w:val="0"/>
        <w:pageBreakBefore w:val="0"/>
        <w:spacing w:line="440" w:lineRule="exact"/>
        <w:widowControl w:val="off"/>
        <w:rPr>
          <w:rFonts w:hint="default" w:ascii="宋体" w:hAnsi="Courier New" w:eastAsia="宋体" w:cs="Times New Roman"/>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13、乙方应根据环保部《关于加强污染源监督性监测数据在坏境执法中应用的通知》环办</w:t>
      </w:r>
      <w:r>
        <w:rPr>
          <w:rFonts w:hint="eastAsia" w:ascii="宋体" w:hAnsi="宋体" w:eastAsia="宋体" w:cs="宋体"/>
          <w:color w:val="auto"/>
          <w:sz w:val="24"/>
          <w:szCs w:val="24"/>
          <w:lang w:val="en-US" w:eastAsia="zh-CN" w:bidi="ar-SA"/>
        </w:rPr>
        <w:t xml:space="preserve">〔2011〕</w:t>
      </w:r>
      <w:r>
        <w:rPr>
          <w:rFonts w:hint="eastAsia" w:ascii="宋体" w:hAnsi="宋体" w:eastAsia="宋体" w:cs="宋体"/>
          <w:b w:val="0"/>
          <w:bCs w:val="0"/>
          <w:color w:val="auto"/>
          <w:sz w:val="24"/>
          <w:szCs w:val="24"/>
          <w:lang w:val="en-US" w:eastAsia="zh-CN" w:bidi="ar-SA"/>
        </w:rPr>
        <w:t xml:space="preserve">123号文件第三条规定“环境监测机构应及时完成分析测定工作，在完成样品测试工作后5日内制作完成监测报告并报出”。否则将视为本次监测活动无效，并在规定时间内进行复测。</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八、违约责任</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因自身原因导致继续履行本合同已无意义的，甲方可以要求解除本合同，解除通知发出后满7天合同即终止，合同款项按终止日结算，已支付但超出结算款项部分乙方应予退还甲方，已支付款项少于结算款项的，甲方应向乙方支付差额部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2、乙方因无力履行合同提出解约，须全额返还甲方已支付的款项，并向甲方支付合同项目总费用100%的违约金。</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3、未经甲方同意，乙方不得私自更换投标文件中承诺的主要人员。违反本款规定时，甲方有权对乙方进行处罚：a、项目负责人：5万元/每人次；b、专业负责人：2万元/每人次；c、其他主要人员：1万元/每人次。</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4、未经甲方允许，乙方将项目审核任务转包或违法分包的，甲方有权终止合同，并计扣乙方合同价20%的违约金。</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5、乙方无故不按合同执行或未按期提交审核报告，甲方有权向乙方收取20%违约金。</w:t>
      </w:r>
      <w:r/>
    </w:p>
    <w:p>
      <w:pPr>
        <w:ind w:firstLine="480"/>
        <w:jc w:val="both"/>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6、乙方不得以疫情等其他原因作为理由不履行合同，要合理安排监测计划，及时完成监测任务，甲方有权终止合同，并计扣乙方合同价20%的违约金。</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如因乙方监测报告递交超期或监测报告质量的问题，致使行政处罚案件不能立案或撤案，出现一起，扣除合同总额的5%，出现两起，扣除15%，出现三起，扣除25%，（每增加一起，递增扣款10%）依次类推。且一年内不能参与同类的政府采购项目。</w:t>
      </w:r>
      <w:r/>
    </w:p>
    <w:p>
      <w:pPr>
        <w:ind w:firstLine="480"/>
        <w:jc w:val="both"/>
        <w:keepLines w:val="0"/>
        <w:keepNext w:val="0"/>
        <w:pageBreakBefore w:val="0"/>
        <w:spacing w:after="0"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根据省生态环境厅《关于净化生态环境监测服务市场环境的通知》苏环办〔2023〕122号文件第五条“承担生态环境部门委托监督性监测服务的环境监测机构，不得同时承接同一排污单位自行监测委托服务”的规定，乙方应在合同签订后，及时采取有效措施，规避影响数据公正性的行为，解除原有承接的同一排污单位的自行监测委托服务合同，由此产生的法律责任由乙方承担。</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九、不可抗力事件处理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1、在合同有效期内，任何一方因不可抗力事件导致不能履行合同，则合同履行期可延长，其延长期与不可抗力影响期相同。</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2、不可抗力事件发生后，应立即通知对方，并寄送有关权威机构出具的证明。</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3、不可抗力事件延续120天以上，双方应通过友好协商，确定是否继续履行合同；协商不成的，任何一方有权书面通知对方解除合同。</w:t>
      </w:r>
      <w:r/>
    </w:p>
    <w:p>
      <w:pPr>
        <w:ind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十、合同生效及其它约定事项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1、合同经双方法定代表人或授权代表人签字并加盖单位公章后生效。</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2、招标文件和乙方的投标文件为本合同的不可分割的组成部分，与本合同具有同样效力。</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3、知识产权保证：乙方保证甲方在使用、接受本合同服务或其任何一部分时，不受第三方提出侵犯其专利权、版权、商标权和工业设计权等知识产权的起诉。一旦出现侵权，由乙方负全部责任。</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4、产权保证：乙方保证所交付的服务和服务所涉及的物品所有权无任何抵押、查封等权利瑕疵。</w:t>
      </w:r>
      <w:r/>
    </w:p>
    <w:p>
      <w:pPr>
        <w:numPr>
          <w:ilvl w:val="0"/>
          <w:numId w:val="3"/>
        </w:num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转包或分包：本合同禁止转包，本合同范围的服务，应由乙方直接提供的，不得转让他人提供。经甲方同意，乙方可以依法采取分包方式履行合同，但是分包方式履行的，乙方应就采购项目向甲方负全责。</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6、本合同附件为本合同组成部分，与本合同具有同等效力。</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7、合同执行中涉及采购资金和采购内容修改或补充的，须经财政部门审批，并签书面补充协议报财政部门备案，方可作为主合同不可分割的一部分。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8、本合同未注明事项，招标文件中有规定的，按招标文件中的规定处理，没有规定的，按照国家的有关规定处理。</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9、本合同未尽事宜甲乙双方协商解决，协商不一致时，向甲方所在地人民法院起诉。</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10、本合同一式</w:t>
      </w:r>
      <w:r>
        <w:rPr>
          <w:rFonts w:hint="eastAsia" w:ascii="宋体" w:hAnsi="宋体" w:eastAsia="宋体" w:cs="宋体"/>
          <w:color w:val="auto"/>
          <w:sz w:val="24"/>
          <w:szCs w:val="24"/>
          <w:u w:val="single"/>
          <w:lang w:val="en-US" w:eastAsia="zh-CN" w:bidi="ar-SA"/>
        </w:rPr>
        <w:t xml:space="preserve"> 陆 </w:t>
      </w:r>
      <w:r>
        <w:rPr>
          <w:rFonts w:hint="eastAsia" w:ascii="宋体" w:hAnsi="宋体" w:eastAsia="宋体" w:cs="宋体"/>
          <w:color w:val="auto"/>
          <w:sz w:val="24"/>
          <w:szCs w:val="24"/>
          <w:lang w:val="en-US" w:eastAsia="zh-CN" w:bidi="ar-SA"/>
        </w:rPr>
        <w:t xml:space="preserve">份，具有同等法律效力，甲方执</w:t>
      </w:r>
      <w:r>
        <w:rPr>
          <w:rFonts w:hint="eastAsia" w:ascii="宋体" w:hAnsi="宋体" w:eastAsia="宋体" w:cs="宋体"/>
          <w:color w:val="auto"/>
          <w:sz w:val="24"/>
          <w:szCs w:val="24"/>
          <w:u w:val="single"/>
          <w:lang w:val="en-US" w:eastAsia="zh-CN" w:bidi="ar-SA"/>
        </w:rPr>
        <w:t xml:space="preserve"> 贰 </w:t>
      </w:r>
      <w:r>
        <w:rPr>
          <w:rFonts w:hint="eastAsia" w:ascii="宋体" w:hAnsi="宋体" w:eastAsia="宋体" w:cs="宋体"/>
          <w:color w:val="auto"/>
          <w:sz w:val="24"/>
          <w:szCs w:val="24"/>
          <w:lang w:val="en-US" w:eastAsia="zh-CN" w:bidi="ar-SA"/>
        </w:rPr>
        <w:t xml:space="preserve">份、乙方执</w:t>
      </w:r>
      <w:r>
        <w:rPr>
          <w:rFonts w:hint="eastAsia" w:ascii="宋体" w:hAnsi="宋体" w:eastAsia="宋体" w:cs="宋体"/>
          <w:color w:val="auto"/>
          <w:sz w:val="24"/>
          <w:szCs w:val="24"/>
          <w:u w:val="single"/>
          <w:lang w:val="en-US" w:eastAsia="zh-CN" w:bidi="ar-SA"/>
        </w:rPr>
        <w:t xml:space="preserve"> 贰 </w:t>
      </w:r>
      <w:r>
        <w:rPr>
          <w:rFonts w:hint="eastAsia" w:ascii="宋体" w:hAnsi="宋体" w:eastAsia="宋体" w:cs="宋体"/>
          <w:color w:val="auto"/>
          <w:sz w:val="24"/>
          <w:szCs w:val="24"/>
          <w:lang w:val="en-US" w:eastAsia="zh-CN" w:bidi="ar-SA"/>
        </w:rPr>
        <w:t xml:space="preserve">份，采购代理机构</w:t>
      </w:r>
      <w:r>
        <w:rPr>
          <w:rFonts w:hint="eastAsia" w:ascii="宋体" w:hAnsi="宋体" w:eastAsia="宋体" w:cs="宋体"/>
          <w:color w:val="auto"/>
          <w:sz w:val="24"/>
          <w:szCs w:val="24"/>
          <w:u w:val="single"/>
          <w:lang w:val="en-US" w:eastAsia="zh-CN" w:bidi="ar-SA"/>
        </w:rPr>
        <w:t xml:space="preserve"> 壹份 </w:t>
      </w:r>
      <w:r>
        <w:rPr>
          <w:rFonts w:hint="eastAsia" w:ascii="宋体" w:hAnsi="宋体" w:eastAsia="宋体" w:cs="宋体"/>
          <w:color w:val="auto"/>
          <w:sz w:val="24"/>
          <w:szCs w:val="24"/>
          <w:lang w:val="en-US" w:eastAsia="zh-CN" w:bidi="ar-SA"/>
        </w:rPr>
        <w:t xml:space="preserve">存档，政府采购管理部门</w:t>
      </w:r>
      <w:r>
        <w:rPr>
          <w:rFonts w:hint="eastAsia" w:ascii="宋体" w:hAnsi="宋体" w:eastAsia="宋体" w:cs="宋体"/>
          <w:color w:val="auto"/>
          <w:sz w:val="24"/>
          <w:szCs w:val="24"/>
          <w:u w:val="single"/>
          <w:lang w:val="en-US" w:eastAsia="zh-CN" w:bidi="ar-SA"/>
        </w:rPr>
        <w:t xml:space="preserve"> 壹份 </w:t>
      </w:r>
      <w:r>
        <w:rPr>
          <w:rFonts w:hint="eastAsia" w:ascii="宋体" w:hAnsi="宋体" w:eastAsia="宋体" w:cs="宋体"/>
          <w:color w:val="auto"/>
          <w:sz w:val="24"/>
          <w:szCs w:val="24"/>
          <w:lang w:val="en-US" w:eastAsia="zh-CN" w:bidi="ar-SA"/>
        </w:rPr>
        <w:t xml:space="preserve">备案。合同自双方签字盖章后生效。本合同未尽事宜，由甲乙双方协商解决。</w:t>
      </w:r>
      <w:r/>
    </w:p>
    <w:p>
      <w:pPr>
        <w:ind w:firstLine="480"/>
        <w:jc w:val="both"/>
        <w:keepLines w:val="0"/>
        <w:keepNext w:val="0"/>
        <w:pageBreakBefore w:val="0"/>
        <w:spacing w:line="440" w:lineRule="exact"/>
        <w:widowControl w:val="off"/>
        <w:rPr>
          <w:rFonts w:hint="eastAsia" w:ascii="Times New Roman" w:hAnsi="Times New Roman" w:eastAsia="宋体" w:cs="Times New Roman"/>
          <w:sz w:val="21"/>
          <w:szCs w:val="24"/>
          <w:lang w:val="en-US" w:eastAsia="zh-CN" w:bidi="ar-SA"/>
        </w:rPr>
      </w:pPr>
      <w:r>
        <w:rPr>
          <w:rFonts w:hint="eastAsia" w:ascii="宋体" w:hAnsi="宋体" w:eastAsia="宋体" w:cs="宋体"/>
          <w:color w:val="auto"/>
          <w:sz w:val="24"/>
          <w:szCs w:val="24"/>
          <w:lang w:val="en-US" w:eastAsia="zh-CN" w:bidi="ar-SA"/>
        </w:rPr>
        <w:t xml:space="preserve">甲方和乙方由其正式授权代表于上述所写日期和地点签订本合同。</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甲方（签章）：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邮编：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电话：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银行帐号：</w:t>
      </w:r>
      <w:r/>
    </w:p>
    <w:p>
      <w:pPr>
        <w:jc w:val="both"/>
        <w:keepLines w:val="0"/>
        <w:keepNext w:val="0"/>
        <w:pageBreakBefore w:val="0"/>
        <w:spacing w:line="440" w:lineRule="exact"/>
        <w:widowControl w:val="off"/>
        <w:rPr>
          <w:rFonts w:hint="default"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法定代表人或授权代表(签名)：</w:t>
      </w:r>
      <w:r>
        <w:rPr>
          <w:rFonts w:hint="eastAsia" w:ascii="宋体" w:hAnsi="宋体" w:eastAsia="宋体" w:cs="宋体"/>
          <w:color w:val="auto"/>
          <w:sz w:val="24"/>
          <w:szCs w:val="24"/>
          <w:u w:val="single"/>
          <w:lang w:val="en-US" w:eastAsia="zh-CN" w:bidi="ar-SA"/>
        </w:rPr>
        <w:t xml:space="preserve">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乙方（签章）：</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邮编：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电话：</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开户银行：      </w:t>
      </w:r>
      <w:r/>
    </w:p>
    <w:p>
      <w:pPr>
        <w:jc w:val="both"/>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银行帐号：</w:t>
      </w:r>
      <w:r/>
    </w:p>
    <w:p>
      <w:pPr>
        <w:jc w:val="both"/>
        <w:keepLines w:val="0"/>
        <w:keepNext w:val="0"/>
        <w:pageBreakBefore w:val="0"/>
        <w:spacing w:line="440" w:lineRule="exact"/>
        <w:widowControl w:val="off"/>
        <w:outlineLvl w:val="0"/>
      </w:pPr>
      <w:r>
        <w:rPr>
          <w:rFonts w:hint="eastAsia" w:ascii="宋体" w:hAnsi="宋体" w:eastAsia="宋体" w:cs="宋体"/>
          <w:color w:val="auto"/>
          <w:sz w:val="24"/>
          <w:szCs w:val="24"/>
        </w:rPr>
        <w:t xml:space="preserve">法定代表人或授权代表(签名)：</w:t>
      </w:r>
      <w:r>
        <w:rPr>
          <w:rFonts w:hint="eastAsia" w:ascii="宋体" w:hAnsi="宋体" w:cs="宋体"/>
          <w:color w:val="auto"/>
          <w:sz w:val="24"/>
          <w:szCs w:val="24"/>
          <w:u w:val="single"/>
          <w:lang w:val="en-US" w:eastAsia="zh-CN"/>
        </w:rPr>
        <w:t xml:space="preserve">               </w:t>
      </w:r>
      <w:r/>
    </w:p>
    <w:p>
      <w:r/>
      <w:r/>
    </w:p>
    <w:p>
      <w:pPr>
        <w:pStyle w:val="1066"/>
        <w:jc w:val="center"/>
        <w:spacing w:after="312" w:line="520" w:lineRule="exact"/>
        <w:rPr>
          <w:rFonts w:hint="eastAsia" w:ascii="宋体" w:hAnsi="宋体" w:eastAsia="宋体" w:cs="宋体"/>
          <w:b/>
          <w:color w:val="auto"/>
          <w:sz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b/>
          <w:color w:val="auto"/>
          <w:sz w:val="36"/>
          <w:highlight w:val="none"/>
        </w:rPr>
      </w:r>
      <w:r/>
    </w:p>
    <w:p>
      <w:pPr>
        <w:jc w:val="center"/>
        <w:rPr>
          <w:rFonts w:hint="eastAsia" w:ascii="宋体" w:hAnsi="宋体" w:eastAsia="宋体" w:cs="宋体"/>
          <w:color w:val="auto"/>
          <w:highlight w:val="none"/>
        </w:rPr>
      </w:pPr>
      <w:r>
        <w:rPr>
          <w:rFonts w:hint="eastAsia" w:ascii="宋体" w:hAnsi="宋体" w:eastAsia="宋体" w:cs="宋体"/>
          <w:b/>
          <w:bCs/>
          <w:color w:val="auto"/>
          <w:sz w:val="30"/>
          <w:szCs w:val="44"/>
          <w:highlight w:val="none"/>
        </w:rPr>
        <w:t xml:space="preserve">第六章  采购需求</w:t>
      </w:r>
      <w:bookmarkEnd w:id="13"/>
      <w:r/>
      <w:bookmarkEnd w:id="14"/>
      <w:r/>
      <w:r/>
    </w:p>
    <w:p>
      <w:pP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highlight w:val="none"/>
        </w:rPr>
        <w:t xml:space="preserve">项目概况</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val="en-US" w:eastAsia="zh-CN"/>
        </w:rPr>
        <w:t xml:space="preserve">徐州市部分市级监测事权环境质量监测服务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JSZC-320300-YMXM-G2025-0015</w:t>
      </w:r>
      <w:r>
        <w:rPr>
          <w:rFonts w:hint="eastAsia" w:ascii="宋体" w:hAnsi="宋体" w:eastAsia="宋体" w:cs="宋体"/>
          <w:color w:val="auto"/>
          <w:sz w:val="24"/>
          <w:szCs w:val="24"/>
          <w:highlight w:val="none"/>
          <w:lang w:val="en-US" w:eastAsia="zh-CN"/>
        </w:rPr>
        <w:t xml:space="preserve">     </w:t>
      </w:r>
      <w:r/>
    </w:p>
    <w:p>
      <w:pPr>
        <w:jc w:val="both"/>
        <w:keepLines w:val="0"/>
        <w:keepNext w:val="0"/>
        <w:pageBreakBefore w:val="0"/>
        <w:spacing w:line="500" w:lineRule="exact"/>
        <w:widowControl w:val="off"/>
        <w:rPr>
          <w:rFonts w:hint="eastAsia" w:ascii="宋体" w:hAnsi="宋体" w:eastAsia="宋体" w:cs="宋体"/>
          <w:color w:val="auto"/>
          <w:spacing w:val="2"/>
          <w:sz w:val="24"/>
          <w:szCs w:val="24"/>
        </w:rPr>
        <w:outlineLvl w:val="0"/>
      </w:pPr>
      <w:r>
        <w:rPr>
          <w:rFonts w:hint="eastAsia" w:ascii="宋体" w:hAnsi="宋体" w:eastAsia="宋体" w:cs="宋体"/>
          <w:b/>
          <w:bCs/>
          <w:color w:val="auto"/>
          <w:spacing w:val="2"/>
          <w:sz w:val="24"/>
          <w:szCs w:val="24"/>
          <w:lang w:val="en-US" w:eastAsia="zh-CN"/>
        </w:rPr>
        <w:t xml:space="preserve">二、</w:t>
      </w:r>
      <w:r>
        <w:rPr>
          <w:rFonts w:hint="eastAsia" w:ascii="宋体" w:hAnsi="宋体" w:eastAsia="宋体" w:cs="宋体"/>
          <w:b/>
          <w:bCs/>
          <w:color w:val="auto"/>
          <w:spacing w:val="2"/>
          <w:sz w:val="24"/>
          <w:szCs w:val="24"/>
        </w:rPr>
        <w:t xml:space="preserve">采购标的</w:t>
      </w:r>
      <w:r/>
    </w:p>
    <w:tbl>
      <w:tblPr>
        <w:tblStyle w:val="78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30"/>
        <w:gridCol w:w="4138"/>
        <w:gridCol w:w="1256"/>
        <w:gridCol w:w="1695"/>
      </w:tblGrid>
      <w:tr>
        <w:trPr>
          <w:jc w:val="center"/>
          <w:trHeight w:val="751"/>
        </w:trPr>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监测点位数量</w:t>
            </w:r>
            <w:r/>
          </w:p>
        </w:tc>
        <w:tc>
          <w:tcPr>
            <w:shd w:val="clear" w:color="auto" w:fill="auto"/>
            <w:tcBorders>
              <w:top w:val="single" w:color="000000" w:sz="4" w:space="0"/>
              <w:left w:val="single" w:color="000000" w:sz="4" w:space="0"/>
              <w:bottom w:val="single" w:color="000000" w:sz="4" w:space="0"/>
              <w:right w:val="single" w:color="auto" w:sz="4" w:space="0"/>
            </w:tcBorders>
            <w:tcW w:w="994" w:type="pct"/>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预算费用合计（万元）</w:t>
            </w: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项目一</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集中式饮用水源地水质监测</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994"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28"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重点排污单位监督性（执法）监测</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994" w:type="pct"/>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45</w:t>
            </w:r>
            <w:r/>
          </w:p>
        </w:tc>
      </w:tr>
      <w:tr>
        <w:trPr>
          <w:jc w:val="center"/>
          <w:trHeight w:val="465"/>
        </w:trPr>
        <w:tc>
          <w:tcPr>
            <w:gridSpan w:val="2"/>
            <w:shd w:val="clear" w:color="auto" w:fill="auto"/>
            <w:tcBorders>
              <w:top w:val="single" w:color="000000" w:sz="4" w:space="0"/>
              <w:left w:val="single" w:color="000000" w:sz="4" w:space="0"/>
              <w:bottom w:val="single" w:color="000000" w:sz="4" w:space="0"/>
              <w:right w:val="single" w:color="000000" w:sz="4" w:space="0"/>
            </w:tcBorders>
            <w:tcW w:w="326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994" w:type="pct"/>
            <w:vAlign w:val="center"/>
            <w:textDirection w:val="lrTb"/>
            <w:noWrap w:val="false"/>
          </w:tcPr>
          <w:p>
            <w:pPr>
              <w:jc w:val="center"/>
              <w:rPr>
                <w:rFonts w:hint="default" w:ascii="宋体" w:hAnsi="宋体" w:eastAsia="宋体" w:cs="宋体"/>
                <w:b/>
                <w:color w:val="auto"/>
                <w:sz w:val="24"/>
                <w:szCs w:val="24"/>
                <w:lang w:val="en-US" w:eastAsia="zh-CN"/>
              </w:rPr>
            </w:pPr>
            <w:r>
              <w:rPr>
                <w:rFonts w:hint="eastAsia" w:ascii="宋体" w:hAnsi="宋体" w:eastAsia="宋体" w:cs="宋体"/>
                <w:color w:val="auto"/>
                <w:sz w:val="24"/>
                <w:szCs w:val="24"/>
                <w:lang w:val="en-US" w:eastAsia="zh-CN"/>
              </w:rPr>
              <w:t xml:space="preserve">60</w:t>
            </w:r>
            <w:r/>
          </w:p>
        </w:tc>
      </w:tr>
    </w:tbl>
    <w:p>
      <w:pPr>
        <w:ind w:right="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注：</w:t>
      </w:r>
      <w:r>
        <w:rPr>
          <w:rFonts w:hint="eastAsia" w:ascii="宋体" w:hAnsi="宋体" w:eastAsia="宋体" w:cs="宋体"/>
          <w:b w:val="0"/>
          <w:bCs w:val="0"/>
          <w:color w:val="auto"/>
          <w:sz w:val="24"/>
          <w:szCs w:val="24"/>
        </w:rPr>
        <w:t xml:space="preserve">以上</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个</w:t>
      </w:r>
      <w:r>
        <w:rPr>
          <w:rFonts w:hint="eastAsia" w:ascii="宋体" w:hAnsi="宋体" w:eastAsia="宋体" w:cs="宋体"/>
          <w:b w:val="0"/>
          <w:bCs w:val="0"/>
          <w:color w:val="auto"/>
          <w:sz w:val="24"/>
          <w:szCs w:val="24"/>
          <w:lang w:val="en-US" w:eastAsia="zh-CN"/>
        </w:rPr>
        <w:t xml:space="preserve">项目</w:t>
      </w:r>
      <w:r>
        <w:rPr>
          <w:rFonts w:hint="eastAsia" w:ascii="宋体" w:hAnsi="宋体" w:eastAsia="宋体" w:cs="宋体"/>
          <w:b w:val="0"/>
          <w:bCs w:val="0"/>
          <w:color w:val="auto"/>
          <w:sz w:val="24"/>
          <w:szCs w:val="24"/>
        </w:rPr>
        <w:t xml:space="preserve">的投标报价不得超过上述采购项目预算金额。(报价包含项目完成所需全部费用，采购人不再支付报价以外的任何费用。)</w:t>
      </w:r>
      <w:r/>
    </w:p>
    <w:p>
      <w:pPr>
        <w:ind w:right="0"/>
        <w:keepLines w:val="0"/>
        <w:keepNext w:val="0"/>
        <w:pageBreakBefore w:val="0"/>
        <w:spacing w:line="500" w:lineRule="exact"/>
        <w:widowControl w:val="off"/>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项目一：集中式饮用水源地水质监测</w:t>
      </w:r>
      <w:r/>
    </w:p>
    <w:p>
      <w:pPr>
        <w:ind w:right="0" w:firstLine="600"/>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（一）采购项目预算金额</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采购包一不接受超过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1</w:t>
      </w:r>
      <w:r>
        <w:rPr>
          <w:rFonts w:hint="eastAsia" w:ascii="宋体" w:hAnsi="宋体" w:eastAsia="宋体" w:cs="宋体"/>
          <w:color w:val="auto"/>
          <w:sz w:val="24"/>
          <w:szCs w:val="24"/>
          <w:u w:val="single"/>
        </w:rPr>
        <w:t xml:space="preserve">5 </w:t>
      </w:r>
      <w:r>
        <w:rPr>
          <w:rFonts w:hint="eastAsia" w:ascii="宋体" w:hAnsi="宋体" w:eastAsia="宋体" w:cs="宋体"/>
          <w:color w:val="auto"/>
          <w:sz w:val="24"/>
          <w:szCs w:val="24"/>
        </w:rPr>
        <w:t xml:space="preserve">万元人民币（采购项目预算金额）的投标报价。（报价包括但不限于人工、材料、机械、差旅、采样、检测、编制、评审、管理、利润、规费、税金等费用。投标人应充分了解该项目的总体情况、各类市场风险以及影响报价的其他要素风险，完成所需全部费用，采购人不再支付报价以外的任何费用）。</w:t>
      </w:r>
      <w:r/>
    </w:p>
    <w:p>
      <w:pPr>
        <w:numPr>
          <w:ilvl w:val="0"/>
          <w:numId w:val="4"/>
        </w:numPr>
        <w:ind w:right="0" w:firstLine="482"/>
        <w:keepLines w:val="0"/>
        <w:keepNext w:val="0"/>
        <w:pageBreakBefore w:val="0"/>
        <w:spacing w:line="500" w:lineRule="exact"/>
        <w:widowControl w:val="off"/>
        <w:rPr>
          <w:rFonts w:hint="eastAsia" w:ascii="宋体" w:hAnsi="宋体" w:eastAsia="宋体" w:cs="宋体"/>
          <w:b/>
          <w:color w:val="auto"/>
          <w:sz w:val="24"/>
        </w:rPr>
      </w:pPr>
      <w:r>
        <w:rPr>
          <w:rFonts w:hint="eastAsia" w:ascii="宋体" w:hAnsi="宋体" w:eastAsia="宋体" w:cs="宋体"/>
          <w:b/>
          <w:color w:val="auto"/>
          <w:sz w:val="24"/>
        </w:rPr>
        <w:t xml:space="preserve">服务期限</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自合同签订之日起一年。</w:t>
      </w:r>
      <w:r/>
    </w:p>
    <w:p>
      <w:pPr>
        <w:ind w:right="0" w:firstLine="482"/>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（三）项目主要内容</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对7个集中式饮用水源地（市区2个，丰、沛、邳、睢、新各1个）《地表水环境质量标准》（GB 3838-2002）中表2（5项）监测项目、以及表3的优选特定项目33项，共38项常规监测因子开展每月1次（手工）监测（其中：河流型加测电导率和浊度，湖库型加测电导率、浊度、透明度、叶绿素a和藻密度）工作。对</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个市级饮用水源地（小沿河、许楼、骆马湖）自动监测站每月1次开展实际水样比对工作，常规五参数（水温、pH、溶解氧、电导率和浊度）携带便携式仪器进行现场比对，并将监测分析结果于每月23日前统计后上报采购人。</w:t>
      </w:r>
      <w:r>
        <w:rPr>
          <w:rFonts w:hint="eastAsia" w:ascii="宋体" w:hAnsi="宋体" w:eastAsia="宋体" w:cs="宋体"/>
          <w:color w:val="auto"/>
          <w:sz w:val="24"/>
          <w:highlight w:val="none"/>
        </w:rPr>
        <w:t xml:space="preserve">具体名单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监测项目</w:t>
      </w:r>
      <w:r>
        <w:rPr>
          <w:rFonts w:hint="eastAsia" w:ascii="宋体" w:hAnsi="宋体" w:eastAsia="宋体" w:cs="宋体"/>
          <w:color w:val="auto"/>
          <w:sz w:val="24"/>
          <w:highlight w:val="none"/>
        </w:rPr>
        <w:t xml:space="preserve">详见表</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rPr>
        <w:t xml:space="preserve">。</w:t>
      </w:r>
      <w:r/>
    </w:p>
    <w:p>
      <w:pPr>
        <w:ind w:right="0" w:firstLine="482"/>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根据《省生态环境厅关于加强2025年汛期高温天气饮用水水源地环境监管工作的通知》（苏环办〔2025〕96号）、《省生态环境厅、省住房城乡建设厅、省水利厅关于进一步加强饮用水水源地环境风险防控和供水安全保障工作的通知》（苏环发〔2025〕11号）有关文件要求，汛期高温干旱等重点时段应配合采购人组织开展饮用水水源地加密监测工作，如现场发现有异味时，应及时加测二甲基异醇、土溴素等指标。</w:t>
      </w:r>
      <w:r/>
    </w:p>
    <w:p>
      <w:pPr>
        <w:ind w:left="0" w:right="0" w:firstLine="0"/>
        <w:jc w:val="center"/>
        <w:keepLines w:val="0"/>
        <w:keepNext w:val="0"/>
        <w:pageBreakBefore w:val="0"/>
        <w:spacing w:after="0" w:line="400" w:lineRule="exact"/>
        <w:widowControl w:val="off"/>
        <w:rPr>
          <w:rFonts w:hint="default" w:ascii="Times New Roman" w:hAnsi="Times New Roman" w:eastAsia="宋体" w:cs="Times New Roman"/>
          <w:sz w:val="24"/>
          <w:szCs w:val="24"/>
          <w:lang w:val="en-US" w:eastAsia="zh-CN" w:bidi="ar-SA"/>
        </w:rPr>
      </w:pPr>
      <w:r>
        <w:rPr>
          <w:rFonts w:hint="default" w:ascii="宋体" w:hAnsi="宋体" w:eastAsia="宋体" w:cs="宋体"/>
          <w:color w:val="auto"/>
          <w:sz w:val="24"/>
          <w:szCs w:val="24"/>
          <w:lang w:val="en-US" w:eastAsia="zh-CN" w:bidi="ar-SA"/>
        </w:rPr>
        <w:t xml:space="preserve">表1  7个集中式饮用水源地</w:t>
      </w:r>
      <w:r>
        <w:rPr>
          <w:rFonts w:hint="eastAsia" w:ascii="宋体" w:hAnsi="宋体" w:eastAsia="宋体" w:cs="宋体"/>
          <w:color w:val="auto"/>
          <w:sz w:val="24"/>
          <w:szCs w:val="24"/>
          <w:lang w:val="en-US" w:eastAsia="zh-CN" w:bidi="ar-SA"/>
        </w:rPr>
        <w:t xml:space="preserve">名单</w:t>
      </w:r>
      <w:r/>
    </w:p>
    <w:tbl>
      <w:tblPr>
        <w:tblStyle w:val="81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
        <w:gridCol w:w="737"/>
        <w:gridCol w:w="921"/>
        <w:gridCol w:w="1064"/>
        <w:gridCol w:w="2486"/>
        <w:gridCol w:w="744"/>
        <w:gridCol w:w="1116"/>
        <w:gridCol w:w="997"/>
      </w:tblGrid>
      <w:tr>
        <w:trPr>
          <w:jc w:val="center"/>
          <w:trHeight w:val="738"/>
        </w:trPr>
        <w:tc>
          <w:tcPr>
            <w:shd w:val="clear" w:color="auto" w:fill="auto"/>
            <w:tcW w:w="283" w:type="pct"/>
            <w:vAlign w:val="center"/>
            <w:textDirection w:val="lrTb"/>
            <w:noWrap w:val="false"/>
          </w:tcPr>
          <w:p>
            <w:pPr>
              <w:jc w:val="center"/>
              <w:spacing w:after="0" w:line="240" w:lineRule="auto"/>
              <w:rPr>
                <w:rFonts w:hint="eastAsia" w:ascii="黑体" w:hAnsi="黑体" w:eastAsia="黑体" w:cs="黑体"/>
                <w:b w:val="0"/>
                <w:bCs/>
                <w:color w:val="000000"/>
                <w:sz w:val="22"/>
                <w:szCs w:val="22"/>
              </w:rPr>
            </w:pPr>
            <w:r>
              <w:rPr>
                <w:rFonts w:hint="eastAsia" w:ascii="黑体" w:hAnsi="黑体" w:eastAsia="黑体" w:cs="黑体"/>
                <w:b w:val="0"/>
                <w:bCs/>
                <w:color w:val="000000"/>
                <w:sz w:val="22"/>
                <w:szCs w:val="22"/>
              </w:rPr>
              <w:t xml:space="preserve">序号</w:t>
            </w:r>
            <w:r/>
          </w:p>
        </w:tc>
        <w:tc>
          <w:tcPr>
            <w:shd w:val="clear" w:color="auto" w:fill="auto"/>
            <w:tcW w:w="451" w:type="pct"/>
            <w:vAlign w:val="center"/>
            <w:textDirection w:val="lrTb"/>
            <w:noWrap w:val="false"/>
          </w:tcPr>
          <w:p>
            <w:pPr>
              <w:jc w:val="center"/>
              <w:spacing w:after="0" w:line="240" w:lineRule="auto"/>
              <w:rPr>
                <w:rFonts w:hint="eastAsia" w:ascii="黑体" w:hAnsi="黑体" w:eastAsia="黑体" w:cs="黑体"/>
                <w:b w:val="0"/>
                <w:bCs/>
                <w:color w:val="000000"/>
                <w:sz w:val="22"/>
                <w:szCs w:val="22"/>
              </w:rPr>
            </w:pPr>
            <w:r>
              <w:rPr>
                <w:rFonts w:hint="eastAsia" w:ascii="黑体" w:hAnsi="黑体" w:eastAsia="黑体" w:cs="黑体"/>
                <w:b w:val="0"/>
                <w:bCs/>
                <w:color w:val="000000"/>
                <w:sz w:val="22"/>
                <w:szCs w:val="22"/>
              </w:rPr>
              <w:t xml:space="preserve">设区市</w:t>
            </w:r>
            <w:r/>
          </w:p>
        </w:tc>
        <w:tc>
          <w:tcPr>
            <w:shd w:val="clear" w:color="auto" w:fill="auto"/>
            <w:tcW w:w="559" w:type="pct"/>
            <w:vAlign w:val="center"/>
            <w:textDirection w:val="lrTb"/>
            <w:noWrap w:val="false"/>
          </w:tcPr>
          <w:p>
            <w:pPr>
              <w:jc w:val="center"/>
              <w:spacing w:after="0" w:line="240" w:lineRule="auto"/>
              <w:rPr>
                <w:rFonts w:hint="eastAsia" w:ascii="黑体" w:hAnsi="黑体" w:eastAsia="黑体" w:cs="黑体"/>
                <w:b w:val="0"/>
                <w:bCs/>
                <w:color w:val="000000"/>
                <w:sz w:val="22"/>
                <w:szCs w:val="22"/>
              </w:rPr>
            </w:pPr>
            <w:r>
              <w:rPr>
                <w:rFonts w:hint="eastAsia" w:ascii="黑体" w:hAnsi="黑体" w:eastAsia="黑体" w:cs="黑体"/>
                <w:b w:val="0"/>
                <w:bCs/>
                <w:color w:val="000000"/>
                <w:sz w:val="22"/>
                <w:szCs w:val="22"/>
              </w:rPr>
              <w:t xml:space="preserve">县（市、区）</w:t>
            </w:r>
            <w:r/>
          </w:p>
        </w:tc>
        <w:tc>
          <w:tcPr>
            <w:shd w:val="clear" w:color="auto" w:fill="auto"/>
            <w:tcW w:w="643" w:type="pct"/>
            <w:vAlign w:val="center"/>
            <w:textDirection w:val="lrTb"/>
            <w:noWrap w:val="false"/>
          </w:tcPr>
          <w:p>
            <w:pPr>
              <w:jc w:val="center"/>
              <w:spacing w:after="0" w:line="240" w:lineRule="auto"/>
              <w:rPr>
                <w:rFonts w:hint="eastAsia" w:ascii="黑体" w:hAnsi="黑体" w:eastAsia="黑体" w:cs="黑体"/>
                <w:b w:val="0"/>
                <w:bCs/>
                <w:color w:val="000000"/>
                <w:sz w:val="22"/>
                <w:szCs w:val="22"/>
              </w:rPr>
            </w:pPr>
            <w:r>
              <w:rPr>
                <w:rFonts w:hint="eastAsia" w:ascii="黑体" w:hAnsi="黑体" w:eastAsia="黑体" w:cs="黑体"/>
                <w:b w:val="0"/>
                <w:bCs/>
                <w:color w:val="000000"/>
                <w:sz w:val="22"/>
                <w:szCs w:val="22"/>
              </w:rPr>
              <w:t xml:space="preserve">所在河流/湖库</w:t>
            </w:r>
            <w:r/>
          </w:p>
        </w:tc>
        <w:tc>
          <w:tcPr>
            <w:shd w:val="clear" w:color="auto" w:fill="auto"/>
            <w:tcW w:w="1477" w:type="pct"/>
            <w:vAlign w:val="center"/>
            <w:textDirection w:val="lrTb"/>
            <w:noWrap w:val="false"/>
          </w:tcPr>
          <w:p>
            <w:pPr>
              <w:jc w:val="center"/>
              <w:spacing w:after="0" w:line="240" w:lineRule="auto"/>
              <w:rPr>
                <w:rFonts w:hint="eastAsia" w:ascii="黑体" w:hAnsi="黑体" w:eastAsia="黑体" w:cs="黑体"/>
                <w:b w:val="0"/>
                <w:bCs/>
                <w:color w:val="000000"/>
                <w:sz w:val="22"/>
                <w:szCs w:val="22"/>
              </w:rPr>
            </w:pPr>
            <w:r>
              <w:rPr>
                <w:rFonts w:hint="eastAsia" w:ascii="黑体" w:hAnsi="黑体" w:eastAsia="黑体" w:cs="黑体"/>
                <w:b w:val="0"/>
                <w:bCs/>
                <w:color w:val="000000"/>
                <w:sz w:val="22"/>
                <w:szCs w:val="22"/>
              </w:rPr>
              <w:t xml:space="preserve">水源地名称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黑体" w:hAnsi="黑体" w:eastAsia="黑体" w:cs="黑体"/>
                <w:b w:val="0"/>
                <w:bCs/>
                <w:color w:val="000000"/>
                <w:sz w:val="22"/>
                <w:szCs w:val="22"/>
              </w:rPr>
              <w:suppressLineNumbers w:val="0"/>
            </w:pPr>
            <w:r>
              <w:rPr>
                <w:rFonts w:hint="eastAsia" w:ascii="黑体" w:hAnsi="黑体" w:eastAsia="黑体" w:cs="黑体"/>
                <w:b w:val="0"/>
                <w:bCs/>
                <w:i w:val="0"/>
                <w:iCs w:val="0"/>
                <w:color w:val="000000"/>
                <w:sz w:val="22"/>
                <w:szCs w:val="22"/>
                <w:u w:val="none"/>
                <w:lang w:val="en-US" w:eastAsia="zh-CN" w:bidi="ar"/>
              </w:rPr>
              <w:t xml:space="preserve">等级</w:t>
            </w:r>
            <w:r/>
          </w:p>
        </w:tc>
        <w:tc>
          <w:tcPr>
            <w:shd w:val="clear" w:color="auto" w:fill="auto"/>
            <w:tcW w:w="572" w:type="pct"/>
            <w:vAlign w:val="center"/>
            <w:textDirection w:val="lrTb"/>
            <w:noWrap w:val="false"/>
          </w:tcPr>
          <w:p>
            <w:pPr>
              <w:jc w:val="center"/>
              <w:spacing w:after="0" w:line="240" w:lineRule="auto"/>
              <w:rPr>
                <w:rFonts w:hint="eastAsia" w:ascii="黑体" w:hAnsi="黑体" w:eastAsia="黑体" w:cs="黑体"/>
                <w:b w:val="0"/>
                <w:bCs/>
                <w:color w:val="000000"/>
                <w:sz w:val="22"/>
                <w:szCs w:val="22"/>
              </w:rPr>
            </w:pPr>
            <w:r>
              <w:rPr>
                <w:rFonts w:hint="eastAsia" w:ascii="黑体" w:hAnsi="黑体" w:eastAsia="黑体" w:cs="黑体"/>
                <w:b w:val="0"/>
                <w:bCs/>
                <w:color w:val="000000"/>
                <w:sz w:val="22"/>
                <w:szCs w:val="22"/>
              </w:rPr>
              <w:t xml:space="preserve">经度</w:t>
            </w:r>
            <w:r/>
          </w:p>
        </w:tc>
        <w:tc>
          <w:tcPr>
            <w:shd w:val="clear" w:color="auto" w:fill="auto"/>
            <w:tcW w:w="555" w:type="pct"/>
            <w:vAlign w:val="center"/>
            <w:textDirection w:val="lrTb"/>
            <w:noWrap w:val="false"/>
          </w:tcPr>
          <w:p>
            <w:pPr>
              <w:jc w:val="center"/>
              <w:spacing w:after="0" w:line="240" w:lineRule="auto"/>
              <w:rPr>
                <w:rFonts w:hint="eastAsia" w:ascii="黑体" w:hAnsi="黑体" w:eastAsia="黑体" w:cs="黑体"/>
                <w:b w:val="0"/>
                <w:bCs/>
                <w:color w:val="000000"/>
                <w:sz w:val="22"/>
                <w:szCs w:val="22"/>
              </w:rPr>
            </w:pPr>
            <w:r>
              <w:rPr>
                <w:rFonts w:hint="eastAsia" w:ascii="黑体" w:hAnsi="黑体" w:eastAsia="黑体" w:cs="黑体"/>
                <w:b w:val="0"/>
                <w:bCs/>
                <w:color w:val="000000"/>
                <w:sz w:val="22"/>
                <w:szCs w:val="22"/>
              </w:rPr>
              <w:t xml:space="preserve">纬度</w:t>
            </w:r>
            <w:r/>
          </w:p>
        </w:tc>
      </w:tr>
      <w:tr>
        <w:trPr>
          <w:jc w:val="center"/>
          <w:trHeight w:val="567"/>
        </w:trPr>
        <w:tc>
          <w:tcPr>
            <w:shd w:val="clear" w:color="auto" w:fill="auto"/>
            <w:tcW w:w="283"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w:t>
            </w:r>
            <w:r/>
          </w:p>
        </w:tc>
        <w:tc>
          <w:tcPr>
            <w:shd w:val="clear" w:color="auto" w:fill="auto"/>
            <w:tcW w:w="451"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w:t>
            </w:r>
            <w:r/>
          </w:p>
        </w:tc>
        <w:tc>
          <w:tcPr>
            <w:shd w:val="clear" w:color="auto" w:fill="auto"/>
            <w:tcW w:w="559"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市区</w:t>
            </w:r>
            <w:r/>
          </w:p>
        </w:tc>
        <w:tc>
          <w:tcPr>
            <w:shd w:val="clear" w:color="auto" w:fill="auto"/>
            <w:tcW w:w="643"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小沿河</w:t>
            </w:r>
            <w:r/>
          </w:p>
        </w:tc>
        <w:tc>
          <w:tcPr>
            <w:shd w:val="clear" w:color="auto" w:fill="auto"/>
            <w:tcW w:w="1477"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徐州市南四湖小沿河水源地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sz w:val="24"/>
                <w:szCs w:val="24"/>
                <w:lang w:val="en-US" w:eastAsia="zh-CN"/>
              </w:rPr>
              <w:suppressLineNumbers w:val="0"/>
            </w:pPr>
            <w:r>
              <w:rPr>
                <w:rFonts w:hint="eastAsia" w:ascii="宋体" w:hAnsi="宋体" w:eastAsia="宋体" w:cs="Times New Roman"/>
                <w:color w:val="000000"/>
                <w:sz w:val="24"/>
                <w:szCs w:val="24"/>
                <w:lang w:val="en-US" w:eastAsia="zh-CN"/>
              </w:rPr>
              <w:t xml:space="preserve">地级</w:t>
            </w:r>
            <w:r/>
          </w:p>
        </w:tc>
        <w:tc>
          <w:tcPr>
            <w:shd w:val="clear" w:color="auto" w:fill="auto"/>
            <w:tcW w:w="572"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117.1639</w:t>
            </w:r>
            <w:r/>
          </w:p>
        </w:tc>
        <w:tc>
          <w:tcPr>
            <w:shd w:val="clear" w:color="auto" w:fill="auto"/>
            <w:tcW w:w="555"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34.4342</w:t>
            </w:r>
            <w:r/>
          </w:p>
        </w:tc>
      </w:tr>
      <w:tr>
        <w:trPr>
          <w:jc w:val="center"/>
          <w:trHeight w:val="567"/>
        </w:trPr>
        <w:tc>
          <w:tcPr>
            <w:shd w:val="clear" w:color="auto" w:fill="auto"/>
            <w:tcW w:w="283"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2</w:t>
            </w:r>
            <w:r/>
          </w:p>
        </w:tc>
        <w:tc>
          <w:tcPr>
            <w:shd w:val="clear" w:color="auto" w:fill="auto"/>
            <w:tcW w:w="451"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w:t>
            </w:r>
            <w:r/>
          </w:p>
        </w:tc>
        <w:tc>
          <w:tcPr>
            <w:shd w:val="clear" w:color="auto" w:fill="auto"/>
            <w:tcW w:w="559"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市区</w:t>
            </w:r>
            <w:r/>
          </w:p>
        </w:tc>
        <w:tc>
          <w:tcPr>
            <w:shd w:val="clear" w:color="auto" w:fill="auto"/>
            <w:tcW w:w="643"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骆马湖</w:t>
            </w:r>
            <w:r/>
          </w:p>
        </w:tc>
        <w:tc>
          <w:tcPr>
            <w:shd w:val="clear" w:color="auto" w:fill="auto"/>
            <w:tcW w:w="1477"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徐州市骆马湖窑湾水源地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lang w:val="en-US" w:eastAsia="zh-CN"/>
              </w:rPr>
              <w:t xml:space="preserve">地级</w:t>
            </w:r>
            <w:r/>
          </w:p>
        </w:tc>
        <w:tc>
          <w:tcPr>
            <w:shd w:val="clear" w:color="auto" w:fill="auto"/>
            <w:tcW w:w="572"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118.1243</w:t>
            </w:r>
            <w:r/>
          </w:p>
        </w:tc>
        <w:tc>
          <w:tcPr>
            <w:shd w:val="clear" w:color="auto" w:fill="auto"/>
            <w:tcW w:w="555"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34.1516</w:t>
            </w:r>
            <w:r/>
          </w:p>
        </w:tc>
      </w:tr>
      <w:tr>
        <w:trPr>
          <w:jc w:val="center"/>
          <w:trHeight w:val="567"/>
        </w:trPr>
        <w:tc>
          <w:tcPr>
            <w:shd w:val="clear" w:color="auto" w:fill="auto"/>
            <w:tcW w:w="283"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w:t>
            </w:r>
            <w:r/>
          </w:p>
        </w:tc>
        <w:tc>
          <w:tcPr>
            <w:shd w:val="clear" w:color="auto" w:fill="auto"/>
            <w:tcW w:w="451"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w:t>
            </w:r>
            <w:r/>
          </w:p>
        </w:tc>
        <w:tc>
          <w:tcPr>
            <w:shd w:val="clear" w:color="auto" w:fill="auto"/>
            <w:tcW w:w="559"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新沂</w:t>
            </w:r>
            <w:r/>
          </w:p>
        </w:tc>
        <w:tc>
          <w:tcPr>
            <w:shd w:val="clear" w:color="auto" w:fill="auto"/>
            <w:tcW w:w="643"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骆马湖</w:t>
            </w:r>
            <w:r/>
          </w:p>
        </w:tc>
        <w:tc>
          <w:tcPr>
            <w:shd w:val="clear" w:color="auto" w:fill="auto"/>
            <w:tcW w:w="1477"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新沂市骆马湖新店水源地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县级</w:t>
            </w:r>
            <w:r/>
          </w:p>
        </w:tc>
        <w:tc>
          <w:tcPr>
            <w:shd w:val="clear" w:color="auto" w:fill="auto"/>
            <w:tcW w:w="572"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118.2821</w:t>
            </w:r>
            <w:r/>
          </w:p>
        </w:tc>
        <w:tc>
          <w:tcPr>
            <w:shd w:val="clear" w:color="auto" w:fill="auto"/>
            <w:tcW w:w="555"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34.1115</w:t>
            </w:r>
            <w:r/>
          </w:p>
        </w:tc>
      </w:tr>
      <w:tr>
        <w:trPr>
          <w:jc w:val="center"/>
          <w:trHeight w:val="567"/>
        </w:trPr>
        <w:tc>
          <w:tcPr>
            <w:shd w:val="clear" w:color="auto" w:fill="auto"/>
            <w:tcW w:w="283"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4</w:t>
            </w:r>
            <w:r/>
          </w:p>
        </w:tc>
        <w:tc>
          <w:tcPr>
            <w:shd w:val="clear" w:color="auto" w:fill="auto"/>
            <w:tcW w:w="451"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w:t>
            </w:r>
            <w:r/>
          </w:p>
        </w:tc>
        <w:tc>
          <w:tcPr>
            <w:shd w:val="clear" w:color="auto" w:fill="auto"/>
            <w:tcW w:w="559"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邳州</w:t>
            </w:r>
            <w:r/>
          </w:p>
        </w:tc>
        <w:tc>
          <w:tcPr>
            <w:shd w:val="clear" w:color="auto" w:fill="auto"/>
            <w:tcW w:w="643"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中运河</w:t>
            </w:r>
            <w:r/>
          </w:p>
        </w:tc>
        <w:tc>
          <w:tcPr>
            <w:shd w:val="clear" w:color="auto" w:fill="auto"/>
            <w:tcW w:w="1477"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邳州市中运河张楼水源地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县级</w:t>
            </w:r>
            <w:r/>
          </w:p>
        </w:tc>
        <w:tc>
          <w:tcPr>
            <w:shd w:val="clear" w:color="auto" w:fill="auto"/>
            <w:tcW w:w="572"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117.9939</w:t>
            </w:r>
            <w:r/>
          </w:p>
        </w:tc>
        <w:tc>
          <w:tcPr>
            <w:shd w:val="clear" w:color="auto" w:fill="auto"/>
            <w:tcW w:w="555"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34.2619</w:t>
            </w:r>
            <w:r/>
          </w:p>
        </w:tc>
      </w:tr>
      <w:tr>
        <w:trPr>
          <w:jc w:val="center"/>
          <w:trHeight w:val="567"/>
        </w:trPr>
        <w:tc>
          <w:tcPr>
            <w:shd w:val="clear" w:color="auto" w:fill="auto"/>
            <w:tcW w:w="283"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5</w:t>
            </w:r>
            <w:r/>
          </w:p>
        </w:tc>
        <w:tc>
          <w:tcPr>
            <w:shd w:val="clear" w:color="auto" w:fill="auto"/>
            <w:tcW w:w="451"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w:t>
            </w:r>
            <w:r/>
          </w:p>
        </w:tc>
        <w:tc>
          <w:tcPr>
            <w:shd w:val="clear" w:color="auto" w:fill="auto"/>
            <w:tcW w:w="559"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丰县</w:t>
            </w:r>
            <w:r/>
          </w:p>
        </w:tc>
        <w:tc>
          <w:tcPr>
            <w:shd w:val="clear" w:color="auto" w:fill="auto"/>
            <w:tcW w:w="643"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大沙河</w:t>
            </w:r>
            <w:r/>
          </w:p>
        </w:tc>
        <w:tc>
          <w:tcPr>
            <w:shd w:val="clear" w:color="auto" w:fill="auto"/>
            <w:tcW w:w="1477"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丰县大沙河草庙水源地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县级</w:t>
            </w:r>
            <w:r/>
          </w:p>
        </w:tc>
        <w:tc>
          <w:tcPr>
            <w:shd w:val="clear" w:color="auto" w:fill="auto"/>
            <w:tcW w:w="572"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116.7139</w:t>
            </w:r>
            <w:r/>
          </w:p>
        </w:tc>
        <w:tc>
          <w:tcPr>
            <w:shd w:val="clear" w:color="auto" w:fill="auto"/>
            <w:tcW w:w="555"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34.6416</w:t>
            </w:r>
            <w:r/>
          </w:p>
        </w:tc>
      </w:tr>
      <w:tr>
        <w:trPr>
          <w:jc w:val="center"/>
          <w:trHeight w:val="567"/>
        </w:trPr>
        <w:tc>
          <w:tcPr>
            <w:shd w:val="clear" w:color="auto" w:fill="auto"/>
            <w:tcW w:w="283"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6</w:t>
            </w:r>
            <w:r/>
          </w:p>
        </w:tc>
        <w:tc>
          <w:tcPr>
            <w:shd w:val="clear" w:color="auto" w:fill="auto"/>
            <w:tcW w:w="451"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w:t>
            </w:r>
            <w:r/>
          </w:p>
        </w:tc>
        <w:tc>
          <w:tcPr>
            <w:shd w:val="clear" w:color="auto" w:fill="auto"/>
            <w:tcW w:w="559"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沛县</w:t>
            </w:r>
            <w:r/>
          </w:p>
        </w:tc>
        <w:tc>
          <w:tcPr>
            <w:shd w:val="clear" w:color="auto" w:fill="auto"/>
            <w:tcW w:w="643"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微山湖</w:t>
            </w:r>
            <w:r/>
          </w:p>
        </w:tc>
        <w:tc>
          <w:tcPr>
            <w:shd w:val="clear" w:color="auto" w:fill="auto"/>
            <w:tcW w:w="1477"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沛县南四湖徐庄水源地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县级</w:t>
            </w:r>
            <w:r/>
          </w:p>
        </w:tc>
        <w:tc>
          <w:tcPr>
            <w:shd w:val="clear" w:color="auto" w:fill="auto"/>
            <w:tcW w:w="572"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116.9800</w:t>
            </w:r>
            <w:r/>
          </w:p>
        </w:tc>
        <w:tc>
          <w:tcPr>
            <w:shd w:val="clear" w:color="auto" w:fill="auto"/>
            <w:tcW w:w="555"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34.8386</w:t>
            </w:r>
            <w:r/>
          </w:p>
        </w:tc>
      </w:tr>
      <w:tr>
        <w:trPr>
          <w:jc w:val="center"/>
          <w:trHeight w:val="567"/>
        </w:trPr>
        <w:tc>
          <w:tcPr>
            <w:shd w:val="clear" w:color="auto" w:fill="auto"/>
            <w:tcW w:w="283"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7</w:t>
            </w:r>
            <w:r/>
          </w:p>
        </w:tc>
        <w:tc>
          <w:tcPr>
            <w:shd w:val="clear" w:color="auto" w:fill="auto"/>
            <w:tcW w:w="451"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徐州</w:t>
            </w:r>
            <w:r/>
          </w:p>
        </w:tc>
        <w:tc>
          <w:tcPr>
            <w:shd w:val="clear" w:color="auto" w:fill="auto"/>
            <w:tcW w:w="559"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睢宁</w:t>
            </w:r>
            <w:r/>
          </w:p>
        </w:tc>
        <w:tc>
          <w:tcPr>
            <w:shd w:val="clear" w:color="auto" w:fill="auto"/>
            <w:tcW w:w="643"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庆安水库</w:t>
            </w:r>
            <w:r/>
          </w:p>
        </w:tc>
        <w:tc>
          <w:tcPr>
            <w:shd w:val="clear" w:color="auto" w:fill="auto"/>
            <w:tcW w:w="1477" w:type="pct"/>
            <w:vAlign w:val="center"/>
            <w:textDirection w:val="lrTb"/>
            <w:noWrap w:val="false"/>
          </w:tcPr>
          <w:p>
            <w:pPr>
              <w:jc w:val="center"/>
              <w:spacing w:after="0"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睢宁县庆安水库水源地</w:t>
            </w:r>
            <w:r/>
          </w:p>
        </w:tc>
        <w:tc>
          <w:tcPr>
            <w:shd w:val="clear" w:color="auto" w:fill="auto"/>
            <w:tcW w:w="455" w:type="pct"/>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县级</w:t>
            </w:r>
            <w:r/>
          </w:p>
        </w:tc>
        <w:tc>
          <w:tcPr>
            <w:shd w:val="clear" w:color="auto" w:fill="auto"/>
            <w:tcW w:w="572"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117.9042</w:t>
            </w:r>
            <w:r/>
          </w:p>
        </w:tc>
        <w:tc>
          <w:tcPr>
            <w:shd w:val="clear" w:color="auto" w:fill="auto"/>
            <w:tcW w:w="555" w:type="pct"/>
            <w:vAlign w:val="center"/>
            <w:textDirection w:val="lrTb"/>
            <w:noWrap w:val="false"/>
          </w:tcPr>
          <w:p>
            <w:pPr>
              <w:jc w:val="center"/>
              <w:spacing w:after="0" w:line="240" w:lineRule="auto"/>
              <w:rPr>
                <w:rFonts w:hint="eastAsia" w:ascii="Times New Roman" w:hAnsi="Times New Roman" w:eastAsia="Times New Roman" w:cs="Times New Roman"/>
                <w:color w:val="000000"/>
                <w:sz w:val="24"/>
                <w:szCs w:val="24"/>
              </w:rPr>
            </w:pPr>
            <w:r>
              <w:rPr>
                <w:rFonts w:hint="eastAsia" w:ascii="Times New Roman" w:hAnsi="Times New Roman" w:eastAsia="Times New Roman" w:cs="Times New Roman"/>
                <w:color w:val="000000"/>
                <w:sz w:val="24"/>
                <w:szCs w:val="24"/>
              </w:rPr>
              <w:t xml:space="preserve">34.0553</w:t>
            </w:r>
            <w:r/>
          </w:p>
        </w:tc>
      </w:tr>
    </w:tbl>
    <w:p>
      <w:pPr>
        <w:ind w:left="0" w:right="0" w:firstLine="0"/>
        <w:jc w:val="center"/>
        <w:keepLines w:val="0"/>
        <w:keepNext w:val="0"/>
        <w:pageBreakBefore w:val="0"/>
        <w:spacing w:after="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表2 集中式饮用水源地水质监测项目</w:t>
      </w:r>
      <w:r/>
    </w:p>
    <w:tbl>
      <w:tblPr>
        <w:tblStyle w:val="8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301"/>
        <w:gridCol w:w="4727"/>
        <w:gridCol w:w="1833"/>
      </w:tblGrid>
      <w:tr>
        <w:trPr>
          <w:jc w:val="center"/>
          <w:trHeight w:val="515"/>
        </w:trPr>
        <w:tc>
          <w:tcPr>
            <w:tcW w:w="386" w:type="pct"/>
            <w:vAlign w:val="center"/>
            <w:textDirection w:val="lrTb"/>
            <w:noWrap w:val="false"/>
          </w:tcPr>
          <w:p>
            <w:pPr>
              <w:jc w:val="center"/>
              <w:spacing w:after="0" w:line="240" w:lineRule="auto"/>
              <w:rPr>
                <w:rFonts w:hint="eastAsia" w:ascii="黑体" w:hAnsi="黑体" w:eastAsia="黑体" w:cs="黑体"/>
                <w:b w:val="0"/>
                <w:bCs/>
                <w:color w:val="000000"/>
                <w:sz w:val="22"/>
                <w:szCs w:val="22"/>
                <w:lang w:val="en-US" w:eastAsia="zh-CN"/>
              </w:rPr>
            </w:pPr>
            <w:r>
              <w:rPr>
                <w:rFonts w:hint="eastAsia" w:ascii="黑体" w:hAnsi="黑体" w:eastAsia="黑体" w:cs="黑体"/>
                <w:b w:val="0"/>
                <w:bCs/>
                <w:color w:val="000000"/>
                <w:sz w:val="22"/>
                <w:szCs w:val="22"/>
                <w:lang w:val="en-US" w:eastAsia="zh-CN"/>
              </w:rPr>
              <w:t xml:space="preserve">序号</w:t>
            </w:r>
            <w:r/>
          </w:p>
        </w:tc>
        <w:tc>
          <w:tcPr>
            <w:tcW w:w="763" w:type="pct"/>
            <w:vAlign w:val="center"/>
            <w:textDirection w:val="lrTb"/>
            <w:noWrap w:val="false"/>
          </w:tcPr>
          <w:p>
            <w:pPr>
              <w:jc w:val="center"/>
              <w:spacing w:after="0" w:line="240" w:lineRule="auto"/>
              <w:rPr>
                <w:rFonts w:hint="eastAsia" w:ascii="黑体" w:hAnsi="黑体" w:eastAsia="黑体" w:cs="黑体"/>
                <w:b w:val="0"/>
                <w:bCs/>
                <w:color w:val="000000"/>
                <w:sz w:val="22"/>
                <w:szCs w:val="22"/>
                <w:lang w:val="en-US" w:eastAsia="zh-CN"/>
              </w:rPr>
            </w:pPr>
            <w:r>
              <w:rPr>
                <w:rFonts w:hint="eastAsia" w:ascii="黑体" w:hAnsi="黑体" w:eastAsia="黑体" w:cs="黑体"/>
                <w:b w:val="0"/>
                <w:bCs/>
                <w:color w:val="000000"/>
                <w:sz w:val="22"/>
                <w:szCs w:val="22"/>
                <w:lang w:val="en-US" w:eastAsia="zh-CN"/>
              </w:rPr>
              <w:t xml:space="preserve">监测项目</w:t>
            </w:r>
            <w:r/>
          </w:p>
        </w:tc>
        <w:tc>
          <w:tcPr>
            <w:tcW w:w="2773" w:type="pct"/>
            <w:vAlign w:val="center"/>
            <w:textDirection w:val="lrTb"/>
            <w:noWrap w:val="false"/>
          </w:tcPr>
          <w:p>
            <w:pPr>
              <w:jc w:val="center"/>
              <w:spacing w:after="0" w:line="240" w:lineRule="auto"/>
              <w:rPr>
                <w:rFonts w:hint="eastAsia" w:ascii="黑体" w:hAnsi="黑体" w:eastAsia="黑体" w:cs="黑体"/>
                <w:b w:val="0"/>
                <w:bCs/>
                <w:color w:val="000000"/>
                <w:sz w:val="22"/>
                <w:szCs w:val="22"/>
                <w:lang w:val="en-US" w:eastAsia="zh-CN"/>
              </w:rPr>
            </w:pPr>
            <w:r>
              <w:rPr>
                <w:rFonts w:hint="eastAsia" w:ascii="黑体" w:hAnsi="黑体" w:eastAsia="黑体" w:cs="黑体"/>
                <w:b w:val="0"/>
                <w:bCs/>
                <w:color w:val="000000"/>
                <w:sz w:val="22"/>
                <w:szCs w:val="22"/>
                <w:lang w:val="en-US" w:eastAsia="zh-CN"/>
              </w:rPr>
              <w:t xml:space="preserve">具体项目</w:t>
            </w:r>
            <w:r/>
          </w:p>
        </w:tc>
        <w:tc>
          <w:tcPr>
            <w:tcW w:w="1075" w:type="pct"/>
            <w:vAlign w:val="center"/>
            <w:textDirection w:val="lrTb"/>
            <w:noWrap w:val="false"/>
          </w:tcPr>
          <w:p>
            <w:pPr>
              <w:jc w:val="center"/>
              <w:spacing w:after="0" w:line="240" w:lineRule="auto"/>
              <w:rPr>
                <w:rFonts w:hint="eastAsia" w:ascii="黑体" w:hAnsi="黑体" w:eastAsia="黑体" w:cs="黑体"/>
                <w:b w:val="0"/>
                <w:bCs/>
                <w:color w:val="000000"/>
                <w:sz w:val="22"/>
                <w:szCs w:val="22"/>
                <w:lang w:val="en-US" w:eastAsia="zh-CN"/>
              </w:rPr>
            </w:pPr>
            <w:r>
              <w:rPr>
                <w:rFonts w:hint="eastAsia" w:ascii="黑体" w:hAnsi="黑体" w:eastAsia="黑体" w:cs="黑体"/>
                <w:b w:val="0"/>
                <w:bCs/>
                <w:color w:val="000000"/>
                <w:sz w:val="22"/>
                <w:szCs w:val="22"/>
                <w:lang w:val="en-US" w:eastAsia="zh-CN"/>
              </w:rPr>
              <w:t xml:space="preserve">备注</w:t>
            </w:r>
            <w:r/>
          </w:p>
        </w:tc>
      </w:tr>
      <w:tr>
        <w:trPr>
          <w:jc w:val="center"/>
          <w:trHeight w:val="814"/>
        </w:trPr>
        <w:tc>
          <w:tcPr>
            <w:tcW w:w="386" w:type="pct"/>
            <w:vAlign w:val="center"/>
            <w:textDirection w:val="lrTb"/>
            <w:noWrap w:val="false"/>
          </w:tcPr>
          <w:p>
            <w:pPr>
              <w:jc w:val="center"/>
              <w:spacing w:after="0" w:line="240" w:lineRule="auto"/>
              <w:rPr>
                <w:rFonts w:hint="eastAsia" w:ascii="Times New Roman" w:hAnsi="Times New Roman" w:cs="Times New Roman" w:eastAsiaTheme="minorEastAsia"/>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 xml:space="preserve">1</w:t>
            </w:r>
            <w:r/>
          </w:p>
        </w:tc>
        <w:tc>
          <w:tcPr>
            <w:tcW w:w="763" w:type="pct"/>
            <w:vAlign w:val="center"/>
            <w:textDirection w:val="lrTb"/>
            <w:noWrap w:val="false"/>
          </w:tcPr>
          <w:p>
            <w:pPr>
              <w:jc w:val="center"/>
              <w:spacing w:after="0" w:line="240" w:lineRule="auto"/>
              <w:rPr>
                <w:rFonts w:ascii="Times New Roman" w:hAnsi="Times New Roman" w:eastAsia="宋体" w:cs="Times New Roman"/>
                <w:b w:val="0"/>
                <w:bCs w:val="0"/>
                <w:sz w:val="24"/>
                <w:szCs w:val="24"/>
                <w:vertAlign w:val="baseline"/>
              </w:rPr>
            </w:pPr>
            <w:r>
              <w:rPr>
                <w:rFonts w:hint="eastAsia" w:ascii="宋体" w:hAnsi="宋体" w:eastAsia="宋体" w:cs="宋体"/>
                <w:b w:val="0"/>
                <w:bCs w:val="0"/>
                <w:color w:val="auto"/>
                <w:sz w:val="24"/>
                <w:szCs w:val="24"/>
              </w:rPr>
              <w:t xml:space="preserve">5项监测项目</w:t>
            </w:r>
            <w:r/>
          </w:p>
        </w:tc>
        <w:tc>
          <w:tcPr>
            <w:tcW w:w="2773" w:type="pct"/>
            <w:vAlign w:val="center"/>
            <w:textDirection w:val="lrTb"/>
            <w:noWrap w:val="false"/>
          </w:tcPr>
          <w:p>
            <w:pPr>
              <w:jc w:val="center"/>
              <w:spacing w:after="0" w:line="240" w:lineRule="auto"/>
              <w:rPr>
                <w:rFonts w:ascii="Times New Roman" w:hAnsi="Times New Roman" w:eastAsia="宋体" w:cs="Times New Roman"/>
                <w:b w:val="0"/>
                <w:bCs w:val="0"/>
                <w:sz w:val="24"/>
                <w:szCs w:val="24"/>
                <w:vertAlign w:val="baseline"/>
              </w:rPr>
            </w:pPr>
            <w:r>
              <w:rPr>
                <w:rFonts w:hint="eastAsia" w:ascii="宋体" w:hAnsi="宋体" w:eastAsia="宋体" w:cs="宋体"/>
                <w:b w:val="0"/>
                <w:bCs w:val="0"/>
                <w:color w:val="auto"/>
                <w:sz w:val="24"/>
                <w:szCs w:val="24"/>
                <w:lang w:val="en-US" w:eastAsia="zh-CN"/>
              </w:rPr>
              <w:t xml:space="preserve">硫酸盐（以</w:t>
            </w:r>
            <w:r>
              <w:rPr>
                <w:rFonts w:hint="default" w:ascii="Times New Roman" w:hAnsi="Times New Roman" w:eastAsia="宋体" w:cs="Times New Roman"/>
                <w:b w:val="0"/>
                <w:bCs w:val="0"/>
                <w:color w:val="auto"/>
                <w:sz w:val="24"/>
                <w:szCs w:val="24"/>
                <w:lang w:val="en-US" w:eastAsia="zh-CN"/>
              </w:rPr>
              <w:t xml:space="preserve">SO₄²⁻</w:t>
            </w:r>
            <w:r>
              <w:rPr>
                <w:rFonts w:hint="eastAsia" w:ascii="宋体" w:hAnsi="宋体" w:eastAsia="宋体" w:cs="宋体"/>
                <w:b w:val="0"/>
                <w:bCs w:val="0"/>
                <w:color w:val="auto"/>
                <w:sz w:val="24"/>
                <w:szCs w:val="24"/>
                <w:lang w:val="en-US" w:eastAsia="zh-CN"/>
              </w:rPr>
              <w:t xml:space="preserve">）、氯化物（以</w:t>
            </w:r>
            <w:r>
              <w:rPr>
                <w:rFonts w:hint="default" w:ascii="Times New Roman" w:hAnsi="Times New Roman" w:eastAsia="宋体" w:cs="Times New Roman"/>
                <w:b w:val="0"/>
                <w:bCs w:val="0"/>
                <w:color w:val="auto"/>
                <w:sz w:val="24"/>
                <w:szCs w:val="24"/>
                <w:lang w:val="en-US" w:eastAsia="zh-CN"/>
              </w:rPr>
              <w:t xml:space="preserve">Cl⁻</w:t>
            </w:r>
            <w:r>
              <w:rPr>
                <w:rFonts w:hint="eastAsia" w:ascii="Times New Roman" w:hAnsi="Times New Roman" w:eastAsia="宋体" w:cs="Times New Roman"/>
                <w:b w:val="0"/>
                <w:bCs w:val="0"/>
                <w:color w:val="auto"/>
                <w:sz w:val="24"/>
                <w:szCs w:val="24"/>
                <w:lang w:val="en-US" w:eastAsia="zh-CN"/>
              </w:rPr>
              <w:t xml:space="preserve">计</w:t>
            </w:r>
            <w:r>
              <w:rPr>
                <w:rFonts w:hint="eastAsia" w:ascii="宋体" w:hAnsi="宋体" w:eastAsia="宋体" w:cs="宋体"/>
                <w:b w:val="0"/>
                <w:bCs w:val="0"/>
                <w:color w:val="auto"/>
                <w:sz w:val="24"/>
                <w:szCs w:val="24"/>
                <w:lang w:val="en-US" w:eastAsia="zh-CN"/>
              </w:rPr>
              <w:t xml:space="preserve">）、硝酸盐（以</w:t>
            </w:r>
            <w:r>
              <w:rPr>
                <w:rFonts w:hint="eastAsia" w:ascii="Times New Roman" w:hAnsi="Times New Roman" w:eastAsia="宋体" w:cs="Times New Roman"/>
                <w:b w:val="0"/>
                <w:bCs w:val="0"/>
                <w:color w:val="auto"/>
                <w:sz w:val="24"/>
                <w:szCs w:val="24"/>
                <w:lang w:val="en-US" w:eastAsia="zh-CN"/>
              </w:rPr>
              <w:t xml:space="preserve">N</w:t>
            </w:r>
            <w:r>
              <w:rPr>
                <w:rFonts w:hint="eastAsia" w:ascii="宋体" w:hAnsi="宋体" w:eastAsia="宋体" w:cs="宋体"/>
                <w:b w:val="0"/>
                <w:bCs w:val="0"/>
                <w:color w:val="auto"/>
                <w:sz w:val="24"/>
                <w:szCs w:val="24"/>
                <w:lang w:val="en-US" w:eastAsia="zh-CN"/>
              </w:rPr>
              <w:t xml:space="preserve">计）、铁、锰</w:t>
            </w:r>
            <w:r/>
          </w:p>
        </w:tc>
        <w:tc>
          <w:tcPr>
            <w:tcW w:w="1075" w:type="pct"/>
            <w:vAlign w:val="center"/>
            <w:textDirection w:val="lrTb"/>
            <w:noWrap w:val="false"/>
          </w:tcPr>
          <w:p>
            <w:pPr>
              <w:jc w:val="center"/>
              <w:spacing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地表水环境质量标准》（GB 3838-2002）表2</w:t>
            </w:r>
            <w:r/>
          </w:p>
        </w:tc>
      </w:tr>
      <w:tr>
        <w:trPr>
          <w:jc w:val="center"/>
        </w:trPr>
        <w:tc>
          <w:tcPr>
            <w:tcW w:w="386" w:type="pct"/>
            <w:vAlign w:val="center"/>
            <w:textDirection w:val="lrTb"/>
            <w:noWrap w:val="false"/>
          </w:tcPr>
          <w:p>
            <w:pPr>
              <w:jc w:val="center"/>
              <w:spacing w:after="0" w:line="240" w:lineRule="auto"/>
              <w:rPr>
                <w:rFonts w:hint="eastAsia" w:ascii="Times New Roman" w:hAnsi="Times New Roman" w:cs="Times New Roman" w:eastAsiaTheme="minorEastAsia"/>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 xml:space="preserve">2</w:t>
            </w:r>
            <w:r/>
          </w:p>
        </w:tc>
        <w:tc>
          <w:tcPr>
            <w:tcW w:w="763" w:type="pct"/>
            <w:vAlign w:val="center"/>
            <w:textDirection w:val="lrTb"/>
            <w:noWrap w:val="false"/>
          </w:tcPr>
          <w:p>
            <w:pPr>
              <w:jc w:val="center"/>
              <w:spacing w:after="0" w:line="240" w:lineRule="auto"/>
              <w:rPr>
                <w:rFonts w:ascii="Times New Roman" w:hAnsi="Times New Roman" w:eastAsia="宋体" w:cs="Times New Roman"/>
                <w:b w:val="0"/>
                <w:bCs w:val="0"/>
                <w:sz w:val="24"/>
                <w:szCs w:val="24"/>
                <w:vertAlign w:val="baseline"/>
              </w:rPr>
            </w:pPr>
            <w:r>
              <w:rPr>
                <w:rFonts w:hint="eastAsia" w:ascii="宋体" w:hAnsi="宋体" w:eastAsia="宋体" w:cs="宋体"/>
                <w:b w:val="0"/>
                <w:bCs w:val="0"/>
                <w:color w:val="auto"/>
                <w:sz w:val="24"/>
                <w:szCs w:val="24"/>
              </w:rPr>
              <w:t xml:space="preserve">33项优选特定项目</w:t>
            </w:r>
            <w:r/>
          </w:p>
        </w:tc>
        <w:tc>
          <w:tcPr>
            <w:tcW w:w="2773" w:type="pct"/>
            <w:vAlign w:val="center"/>
            <w:textDirection w:val="lrTb"/>
            <w:noWrap w:val="false"/>
          </w:tcPr>
          <w:p>
            <w:pPr>
              <w:jc w:val="center"/>
              <w:spacing w:after="0" w:line="240" w:lineRule="auto"/>
              <w:rPr>
                <w:rFonts w:ascii="Times New Roman" w:hAnsi="Times New Roman" w:eastAsia="宋体" w:cs="Times New Roman"/>
                <w:b w:val="0"/>
                <w:bCs w:val="0"/>
                <w:sz w:val="24"/>
                <w:szCs w:val="24"/>
                <w:vertAlign w:val="baseline"/>
              </w:rPr>
            </w:pPr>
            <w:r>
              <w:rPr>
                <w:rFonts w:ascii="宋体" w:hAnsi="宋体" w:eastAsia="宋体" w:cs="宋体"/>
                <w:b w:val="0"/>
                <w:bCs w:val="0"/>
                <w:sz w:val="24"/>
                <w:szCs w:val="24"/>
                <w:lang w:val="en-US" w:eastAsia="zh-CN" w:bidi="ar"/>
              </w:rPr>
              <w:t xml:space="preserve">三氯甲烷、四氯化碳、三氯乙烯、四氯乙烯、甲醛、苯、甲苯、乙苯、二甲苯、苯乙烯、异丙苯、氯苯、1,2－二氯苯、1,4－二氯苯、三氯苯、硝基苯、二硝基苯、硝基氯苯、邻苯二甲酸二丁酯、邻苯二甲酸二（2-乙基己基）酯、滴滴涕、林丹、阿特拉津、苯并（a）芘、钼、钴、铍、硼、锑、镍、钡、钒、铊。</w:t>
            </w:r>
            <w:r/>
          </w:p>
        </w:tc>
        <w:tc>
          <w:tcPr>
            <w:tcW w:w="1075" w:type="pct"/>
            <w:vAlign w:val="center"/>
            <w:textDirection w:val="lrTb"/>
            <w:noWrap w:val="false"/>
          </w:tcPr>
          <w:p>
            <w:pPr>
              <w:jc w:val="center"/>
              <w:spacing w:after="0" w:line="240" w:lineRule="auto"/>
              <w:rPr>
                <w:rFonts w:hint="eastAsia" w:ascii="宋体" w:hAnsi="宋体" w:eastAsia="宋体" w:cs="宋体"/>
                <w:b w:val="0"/>
                <w:bCs w:val="0"/>
                <w:sz w:val="24"/>
                <w:szCs w:val="24"/>
                <w:lang w:val="en-US" w:eastAsia="zh-CN" w:bidi="ar"/>
              </w:rPr>
            </w:pPr>
            <w:r>
              <w:rPr>
                <w:rFonts w:hint="eastAsia" w:ascii="宋体" w:hAnsi="宋体" w:eastAsia="宋体" w:cs="宋体"/>
                <w:b w:val="0"/>
                <w:bCs w:val="0"/>
                <w:color w:val="auto"/>
                <w:sz w:val="24"/>
                <w:szCs w:val="24"/>
              </w:rPr>
              <w:t xml:space="preserve">地表水环境质量标准》（GB 3838-2002）表</w:t>
            </w:r>
            <w:r>
              <w:rPr>
                <w:rFonts w:hint="eastAsia" w:ascii="宋体" w:hAnsi="宋体" w:eastAsia="宋体" w:cs="宋体"/>
                <w:b w:val="0"/>
                <w:bCs w:val="0"/>
                <w:color w:val="auto"/>
                <w:sz w:val="24"/>
                <w:szCs w:val="24"/>
                <w:lang w:val="en-US" w:eastAsia="zh-CN"/>
              </w:rPr>
              <w:t xml:space="preserve">3</w:t>
            </w:r>
            <w:r/>
          </w:p>
        </w:tc>
      </w:tr>
    </w:tbl>
    <w:p>
      <w:pPr>
        <w:ind w:right="0" w:firstLine="600"/>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（四）质量要求</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分析符合国家监测分析方法标准、监测技术规范或有关规定等，采样记录及分析测试结果按国家标准和监测技术规范有关要求进行数据处理和填报，并按有关规定和要求进行三级审核，所有参加监测的人员均持有监测上岗证书。</w:t>
      </w:r>
      <w:r/>
    </w:p>
    <w:p>
      <w:pPr>
        <w:ind w:right="0" w:firstLine="600"/>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（五）售后服务要求</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（1）要求及时提供监测结果及评价报告；</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（2）监测采样及原始记录按类存档并备查；</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（3）保证在监测过程按规范进行，监测结果不弄虚作假；</w:t>
      </w:r>
      <w:r/>
    </w:p>
    <w:p>
      <w:pPr>
        <w:ind w:right="0" w:firstLine="480"/>
        <w:keepLines w:val="0"/>
        <w:keepNext w:val="0"/>
        <w:pageBreakBefore w:val="0"/>
        <w:spacing w:line="5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（4）要求全年监测数据无错误</w:t>
      </w:r>
      <w:r>
        <w:rPr>
          <w:rFonts w:hint="eastAsia" w:ascii="宋体" w:hAnsi="宋体" w:eastAsia="宋体" w:cs="宋体"/>
          <w:color w:val="auto"/>
          <w:sz w:val="24"/>
          <w:lang w:eastAsia="zh-CN"/>
        </w:rPr>
        <w:t xml:space="preserve">；</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供应商不得以任何形式收受利益单位贿赂或在质控检查任务全过程中弄虚作假，一经发现并查实，严格按照环境保护部关于印发《环境监测数据弄虚作假行为判定及处理办法》的通知进行处理，立即报告相关监管部门，取得同意后终止合同，由此产生的一切责任全部由成交供应商承担，并将成交供应商列入黑名单。</w:t>
      </w:r>
      <w:r/>
    </w:p>
    <w:p>
      <w:pPr>
        <w:ind w:right="0" w:firstLine="600"/>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（六）人员配置要求</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1、本项目监测人员配备不少于5名持证上岗技术人员。</w:t>
      </w:r>
      <w:r/>
    </w:p>
    <w:p>
      <w:pPr>
        <w:ind w:right="0" w:firstLine="480"/>
        <w:keepLines w:val="0"/>
        <w:keepNext w:val="0"/>
        <w:pageBreakBefore w:val="0"/>
        <w:spacing w:line="500" w:lineRule="exact"/>
        <w:widowControl w:val="off"/>
        <w:rPr>
          <w:rFonts w:hint="eastAsia" w:ascii="宋体" w:hAnsi="宋体" w:eastAsia="宋体" w:cs="宋体"/>
          <w:color w:val="auto"/>
        </w:rPr>
      </w:pPr>
      <w:r>
        <w:rPr>
          <w:rFonts w:hint="eastAsia" w:ascii="宋体" w:hAnsi="宋体" w:eastAsia="宋体" w:cs="宋体"/>
          <w:color w:val="auto"/>
          <w:sz w:val="24"/>
        </w:rPr>
        <w:t xml:space="preserve">2、监测组至少配备1名环境监测、化工等相关专业的高级职称技术人员作为项目负责人。</w:t>
      </w:r>
      <w:r/>
    </w:p>
    <w:p>
      <w:pPr>
        <w:ind w:right="0"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（七）质控要求</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一、质控方式</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本次质控活动采用实验室比对及盲样分析相结合的方式进行。</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二、质控范围</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7个集中式饮用水源地（市区2个，丰、沛、邳、睢、新各1个），每次质控抽取其中一个，循环进行。</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三、质控因子</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1、实验室比对项目：高锰酸盐指数、化学需氧量、氨氮、总磷、挥发酚、氟化物6项指标。</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2、盲样分析：盲样应从上述6个因子中选取一个因子作为标样，当月盲样发放应与上月度发放不同项目的标样。</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四、时间、频次</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本次质控开始时间为</w:t>
      </w:r>
      <w:r>
        <w:rPr>
          <w:rFonts w:hint="eastAsia" w:ascii="宋体" w:hAnsi="宋体" w:eastAsia="宋体" w:cs="宋体"/>
          <w:b/>
          <w:bCs/>
          <w:color w:val="auto"/>
          <w:sz w:val="24"/>
          <w:szCs w:val="24"/>
          <w:lang w:val="en-US" w:eastAsia="zh-CN"/>
        </w:rPr>
        <w:t xml:space="preserve">合同签订之日当月起</w:t>
      </w:r>
      <w:r>
        <w:rPr>
          <w:rFonts w:hint="eastAsia" w:ascii="宋体" w:hAnsi="宋体" w:eastAsia="宋体" w:cs="宋体"/>
          <w:b/>
          <w:bCs/>
          <w:color w:val="auto"/>
          <w:sz w:val="24"/>
          <w:szCs w:val="24"/>
        </w:rPr>
        <w:t xml:space="preserve">，结束时间为</w:t>
      </w:r>
      <w:r>
        <w:rPr>
          <w:rFonts w:hint="eastAsia" w:ascii="宋体" w:hAnsi="宋体" w:eastAsia="宋体" w:cs="宋体"/>
          <w:b/>
          <w:bCs/>
          <w:color w:val="auto"/>
          <w:sz w:val="24"/>
          <w:szCs w:val="24"/>
          <w:lang w:val="en-US" w:eastAsia="zh-CN"/>
        </w:rPr>
        <w:t xml:space="preserve">合同签订起一年</w:t>
      </w:r>
      <w:r>
        <w:rPr>
          <w:rFonts w:hint="eastAsia" w:ascii="宋体" w:hAnsi="宋体" w:eastAsia="宋体" w:cs="宋体"/>
          <w:b/>
          <w:bCs/>
          <w:color w:val="auto"/>
          <w:sz w:val="24"/>
          <w:szCs w:val="24"/>
        </w:rPr>
        <w:t xml:space="preserve">，频次为每季度两次。</w:t>
      </w:r>
      <w:r>
        <w:rPr>
          <w:rFonts w:hint="eastAsia" w:ascii="宋体" w:hAnsi="宋体" w:eastAsia="宋体" w:cs="宋体"/>
          <w:color w:val="auto"/>
          <w:sz w:val="24"/>
          <w:szCs w:val="24"/>
        </w:rPr>
        <w:t xml:space="preserve">实验室比对由中标公司通知属地监测站同步采样，实施比对。盲样分析由属地监测站同时向中标公司发放盲样，盲样结果计入本项目监测报告。</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五、评价</w:t>
      </w:r>
      <w:r/>
    </w:p>
    <w:p>
      <w:pPr>
        <w:ind w:right="0" w:firstLine="482"/>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当月质控结果由中标公司传递至属地监测站，属地监测站填写质控报表，将原始记录作为附件于次月15日前报徐州市环境监测中心。</w:t>
      </w:r>
      <w:r/>
    </w:p>
    <w:p>
      <w:pPr>
        <w:ind w:right="0" w:firstLine="482"/>
        <w:keepLines w:val="0"/>
        <w:keepNext w:val="0"/>
        <w:pageBreakBefore w:val="0"/>
        <w:spacing w:line="500" w:lineRule="exact"/>
        <w:widowControl w:val="off"/>
        <w:rPr>
          <w:rFonts w:hint="eastAsia" w:ascii="宋体" w:hAnsi="宋体" w:eastAsia="宋体" w:cs="宋体"/>
          <w:color w:val="auto"/>
        </w:rPr>
      </w:pPr>
      <w:r>
        <w:rPr>
          <w:rFonts w:hint="eastAsia" w:ascii="宋体" w:hAnsi="宋体" w:eastAsia="宋体" w:cs="宋体"/>
          <w:color w:val="auto"/>
          <w:sz w:val="24"/>
          <w:szCs w:val="24"/>
        </w:rPr>
        <w:t xml:space="preserve">评判标准依据《环办监测函</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2017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249号》附件中表27-2水质监测实验室质量控制指标（附件1）执行。</w:t>
      </w:r>
      <w:r/>
    </w:p>
    <w:p>
      <w:pPr>
        <w:spacing w:line="263" w:lineRule="auto"/>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p>
    <w:p>
      <w:pPr>
        <w:ind w:right="0"/>
        <w:keepLines w:val="0"/>
        <w:keepNext w:val="0"/>
        <w:pageBreakBefore w:val="0"/>
        <w:spacing w:line="500" w:lineRule="exact"/>
        <w:widowControl w:val="off"/>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项目二：重点排污单位监督性（执法）监测</w:t>
      </w:r>
      <w:r/>
    </w:p>
    <w:p>
      <w:pPr>
        <w:ind w:right="0" w:firstLine="482"/>
        <w:keepLines w:val="0"/>
        <w:keepNext w:val="0"/>
        <w:pageBreakBefore w:val="0"/>
        <w:spacing w:line="50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4"/>
          <w:szCs w:val="24"/>
        </w:rPr>
        <w:t xml:space="preserve">（一）</w:t>
      </w:r>
      <w:r>
        <w:rPr>
          <w:rFonts w:hint="eastAsia" w:ascii="宋体" w:hAnsi="宋体" w:eastAsia="宋体" w:cs="宋体"/>
          <w:b/>
          <w:bCs/>
          <w:color w:val="auto"/>
          <w:sz w:val="28"/>
          <w:szCs w:val="28"/>
        </w:rPr>
        <w:t xml:space="preserve">项目概述</w:t>
      </w:r>
      <w:r/>
    </w:p>
    <w:p>
      <w:pPr>
        <w:ind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根据江苏省生态环境厅</w:t>
      </w:r>
      <w:r>
        <w:rPr>
          <w:rFonts w:hint="eastAsia" w:ascii="宋体" w:hAnsi="宋体" w:eastAsia="宋体" w:cs="宋体"/>
          <w:color w:val="auto"/>
          <w:sz w:val="24"/>
          <w:szCs w:val="24"/>
          <w:lang w:val="en-US" w:eastAsia="zh-CN"/>
        </w:rPr>
        <w:t xml:space="preserve">《关于印发&lt;2025年全省生态环境监测方案&gt;的通知》（苏环办〔2025〕62号）、《徐州市生态环境局关于印发2025年度徐州市环境监管重点单位名录、2025年度徐州市环境信息依法披露企业名单的通知》（徐环发〔2025〕3号）</w:t>
      </w:r>
      <w:r>
        <w:rPr>
          <w:rFonts w:hint="eastAsia" w:ascii="宋体" w:hAnsi="宋体" w:eastAsia="宋体" w:cs="宋体"/>
          <w:color w:val="auto"/>
          <w:sz w:val="24"/>
          <w:szCs w:val="24"/>
        </w:rPr>
        <w:t xml:space="preserve">文件精神，结合我市实际，</w:t>
      </w:r>
      <w:r>
        <w:rPr>
          <w:rFonts w:hint="default" w:ascii="宋体" w:hAnsi="宋体" w:eastAsia="宋体" w:cs="宋体"/>
          <w:color w:val="auto"/>
          <w:sz w:val="24"/>
          <w:szCs w:val="24"/>
        </w:rPr>
        <w:t xml:space="preserve">对</w:t>
      </w:r>
      <w:r>
        <w:rPr>
          <w:rFonts w:hint="default" w:ascii="宋体" w:hAnsi="宋体" w:eastAsia="宋体" w:cs="宋体"/>
          <w:color w:val="auto"/>
          <w:sz w:val="24"/>
          <w:szCs w:val="24"/>
          <w:lang w:val="en-US" w:eastAsia="zh-CN"/>
        </w:rPr>
        <w:t xml:space="preserve">全市</w:t>
      </w:r>
      <w:r>
        <w:rPr>
          <w:rFonts w:hint="eastAsia" w:ascii="宋体" w:hAnsi="宋体" w:eastAsia="宋体" w:cs="宋体"/>
          <w:color w:val="auto"/>
          <w:sz w:val="24"/>
          <w:szCs w:val="24"/>
          <w:lang w:val="en-US" w:eastAsia="zh-CN"/>
        </w:rPr>
        <w:t xml:space="preserve">23</w:t>
      </w:r>
      <w:r>
        <w:rPr>
          <w:rFonts w:hint="default" w:ascii="宋体" w:hAnsi="宋体" w:eastAsia="宋体" w:cs="宋体"/>
          <w:color w:val="auto"/>
          <w:sz w:val="24"/>
          <w:szCs w:val="24"/>
          <w:lang w:val="en-US" w:eastAsia="zh-CN"/>
        </w:rPr>
        <w:t xml:space="preserve">家垃圾焚烧、危险废物处置及</w:t>
      </w:r>
      <w:r>
        <w:rPr>
          <w:rFonts w:hint="default" w:ascii="宋体" w:hAnsi="宋体" w:eastAsia="宋体" w:cs="宋体"/>
          <w:color w:val="auto"/>
          <w:sz w:val="24"/>
          <w:szCs w:val="24"/>
        </w:rPr>
        <w:t xml:space="preserve">废水、废气、土壤重点监管企业开展监督性</w:t>
      </w:r>
      <w:r>
        <w:rPr>
          <w:rFonts w:hint="eastAsia" w:ascii="宋体" w:hAnsi="宋体" w:eastAsia="宋体" w:cs="宋体"/>
          <w:color w:val="auto"/>
          <w:sz w:val="24"/>
          <w:szCs w:val="24"/>
          <w:lang w:val="en-US" w:eastAsia="zh-CN"/>
        </w:rPr>
        <w:t xml:space="preserve">（执法）</w:t>
      </w:r>
      <w:r>
        <w:rPr>
          <w:rFonts w:hint="default" w:ascii="宋体" w:hAnsi="宋体" w:eastAsia="宋体" w:cs="宋体"/>
          <w:color w:val="auto"/>
          <w:sz w:val="24"/>
          <w:szCs w:val="24"/>
        </w:rPr>
        <w:t xml:space="preserve">监测</w:t>
      </w:r>
      <w:r>
        <w:rPr>
          <w:rFonts w:hint="eastAsia" w:ascii="宋体" w:hAnsi="宋体" w:eastAsia="宋体" w:cs="宋体"/>
          <w:color w:val="auto"/>
          <w:sz w:val="24"/>
          <w:szCs w:val="24"/>
        </w:rPr>
        <w:t xml:space="preserve">并出具监测报告 (含比对监测)，同时提供相关监测数据的分析汇总。</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（一）徐州市</w:t>
      </w:r>
      <w:r>
        <w:rPr>
          <w:rFonts w:hint="eastAsia" w:ascii="宋体" w:hAnsi="宋体" w:eastAsia="宋体" w:cs="宋体"/>
          <w:color w:val="auto"/>
          <w:sz w:val="24"/>
          <w:lang w:val="en-US" w:eastAsia="zh-CN"/>
        </w:rPr>
        <w:t xml:space="preserve">部</w:t>
      </w:r>
      <w:r>
        <w:rPr>
          <w:rFonts w:hint="eastAsia" w:ascii="宋体" w:hAnsi="宋体" w:eastAsia="宋体" w:cs="宋体"/>
          <w:color w:val="auto"/>
          <w:sz w:val="24"/>
          <w:szCs w:val="24"/>
          <w:lang w:val="en-US" w:eastAsia="zh-CN"/>
        </w:rPr>
        <w:t xml:space="preserve">分重点排污单位监督性（执法）监测。根据江苏省生态环境厅《关于印发&lt;2025年全省生态环境监测方案&gt;的通知》（苏环办〔2025〕62号）文件精神，结合</w:t>
      </w:r>
      <w:r>
        <w:rPr>
          <w:rFonts w:hint="eastAsia" w:ascii="宋体" w:hAnsi="宋体" w:eastAsia="宋体" w:cs="宋体"/>
          <w:color w:val="auto"/>
          <w:sz w:val="24"/>
        </w:rPr>
        <w:t xml:space="preserve">生态环境部《关于加强固定污染源废气挥发性有机物监测工作的通知》(环办监测函</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2018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123号)、省生态环境厅《关于开展全省固定污染源废气挥发性有机物检查监测工作的通知》(苏环办</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2018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148号)、《省生态环境厅关于进一步做好重点排污单位自动监测管理的通知》(苏环办</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2019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346号)、和《省生态环境厅关于进一步做好重点排污单位自动监测管理的通知》(苏环办</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2019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346号)文件精神，结合我市实际，对</w:t>
      </w:r>
      <w:r>
        <w:rPr>
          <w:rFonts w:hint="default" w:ascii="宋体" w:hAnsi="宋体" w:eastAsia="宋体" w:cs="宋体"/>
          <w:color w:val="auto"/>
          <w:sz w:val="24"/>
          <w:szCs w:val="24"/>
          <w:lang w:val="en-US" w:eastAsia="zh-CN"/>
        </w:rPr>
        <w:t xml:space="preserve">全市</w:t>
      </w:r>
      <w:r>
        <w:rPr>
          <w:rFonts w:hint="eastAsia" w:ascii="宋体" w:hAnsi="宋体" w:eastAsia="宋体" w:cs="宋体"/>
          <w:color w:val="auto"/>
          <w:sz w:val="24"/>
          <w:szCs w:val="24"/>
          <w:lang w:val="en-US" w:eastAsia="zh-CN"/>
        </w:rPr>
        <w:t xml:space="preserve">23</w:t>
      </w:r>
      <w:r>
        <w:rPr>
          <w:rFonts w:hint="default" w:ascii="宋体" w:hAnsi="宋体" w:eastAsia="宋体" w:cs="宋体"/>
          <w:color w:val="auto"/>
          <w:sz w:val="24"/>
          <w:szCs w:val="24"/>
          <w:lang w:val="en-US" w:eastAsia="zh-CN"/>
        </w:rPr>
        <w:t xml:space="preserve">家垃圾焚烧、危险废物处置及</w:t>
      </w:r>
      <w:r>
        <w:rPr>
          <w:rFonts w:hint="default" w:ascii="宋体" w:hAnsi="宋体" w:eastAsia="宋体" w:cs="宋体"/>
          <w:color w:val="auto"/>
          <w:sz w:val="24"/>
          <w:szCs w:val="24"/>
        </w:rPr>
        <w:t xml:space="preserve">废水、废气、土壤重点监管企业</w:t>
      </w:r>
      <w:r>
        <w:rPr>
          <w:rFonts w:hint="eastAsia" w:ascii="宋体" w:hAnsi="宋体" w:eastAsia="宋体" w:cs="宋体"/>
          <w:color w:val="auto"/>
          <w:sz w:val="24"/>
        </w:rPr>
        <w:t xml:space="preserve">开展监督性</w:t>
      </w:r>
      <w:r>
        <w:rPr>
          <w:rFonts w:hint="eastAsia" w:ascii="宋体" w:hAnsi="宋体" w:eastAsia="宋体" w:cs="宋体"/>
          <w:color w:val="auto"/>
          <w:sz w:val="24"/>
          <w:szCs w:val="24"/>
          <w:lang w:val="en-US" w:eastAsia="zh-CN"/>
        </w:rPr>
        <w:t xml:space="preserve">（执法）</w:t>
      </w:r>
      <w:r>
        <w:rPr>
          <w:rFonts w:hint="eastAsia" w:ascii="宋体" w:hAnsi="宋体" w:eastAsia="宋体" w:cs="宋体"/>
          <w:color w:val="auto"/>
          <w:sz w:val="24"/>
        </w:rPr>
        <w:t xml:space="preserve">监测并出具监测报告，同时做好在线比对监测，并提供相关监测数据的分析汇总，配合做好质控考核工作。</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（二）202</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年监测服务按省厅202</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年监测工作要点和监测方案中的要求执行。中标方在开展202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年监测服务时，如202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徐州市重点排污单位调整，采购包内企业数减少则核减相应费用；如单个采购包内增加4个以下（含4个）企业时，不再追加经费；如单个采购包内增加4个企业以上的，采购方可按实际情况在各中标方内合理调剂和分配监测任务。中标人在项目实施过程中应积极配合采购方的需求变更。如需对个别企业进行加密监测，中标人需按徐州市环境监测中心的要求开展加密监测，但原则上不增加加密监测费用。</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（三）关于秋冬季管控措施落实情况</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根据采购人提供的徐州市秋冬季大气污染管控措施文件，合理安排监测计划和采样时间，不得以部分重点排污单位需落实秋冬季管控措施导致停、限产等原因拒不履行合同。</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四）最大化利用该项目资金。为顺利完成各级生态环境主管部门安排的其他随机监测任务。中标方除完成各自采购包内规定的监督性监测任务外，在不增加资金的情况下，还应接受徐州市生态环境局安排的不超过5万元（含5万元）的临时（应急）监测任务，监测任务根据实际需求安排，任务数及经费核算据实按相关规定计算。</w:t>
      </w:r>
      <w:r/>
    </w:p>
    <w:p>
      <w:pPr>
        <w:ind w:right="0" w:firstLine="480"/>
        <w:keepLines w:val="0"/>
        <w:keepNext w:val="0"/>
        <w:pageBreakBefore w:val="0"/>
        <w:spacing w:line="5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五）中标方服务期需提供不超过4次临时性、应急性水生态环境水质监测服务，监测指标为水质五参数、化学需氧量、高锰酸盐指数、氨氮、总磷9项因子（不局限于以上因子，可根据具体需求对监测因子进行调整）。每次监测任务中监测点位数按需确定，原则上不超过10个。</w:t>
      </w:r>
      <w:r/>
    </w:p>
    <w:p>
      <w:pPr>
        <w:ind w:right="0" w:firstLine="562"/>
        <w:keepLines w:val="0"/>
        <w:keepNext w:val="0"/>
        <w:pageBreakBefore w:val="0"/>
        <w:spacing w:line="50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8"/>
          <w:szCs w:val="28"/>
        </w:rPr>
        <w:t xml:space="preserve">监测方案</w:t>
      </w:r>
      <w:r/>
    </w:p>
    <w:p>
      <w:pPr>
        <w:ind w:righ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对全市23家垃圾焚烧、危险废物处置及废水、废气、土壤重点监管企业开展监督性（执法）监测，监测内容根据企业的排污许可证上的要求，开展主要废气、废水排放口、厂区内土壤监测。其中主城区（云龙、鼓楼、泉山）</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铜山区</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经开区</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各县区1</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家企业二噁英监测。</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highlight w:val="none"/>
        </w:rPr>
        <w:t xml:space="preserve">其中，垃圾焚烧、危险废物处置重点排污单位开展监测的，监测频次为一年四次；重点排污单位涉及二噁英监测的，监测频次为一年</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次</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注：因2025年上半年涉二噁英企业未开展监测，中标方在</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年下半年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年上半年</w:t>
      </w:r>
      <w:r>
        <w:rPr>
          <w:rFonts w:hint="eastAsia" w:ascii="宋体" w:hAnsi="宋体" w:eastAsia="宋体" w:cs="宋体"/>
          <w:b/>
          <w:bCs/>
          <w:color w:val="auto"/>
          <w:sz w:val="24"/>
          <w:highlight w:val="none"/>
          <w:lang w:val="en-US" w:eastAsia="zh-CN"/>
        </w:rPr>
        <w:t xml:space="preserve">各监测</w:t>
      </w:r>
      <w:r>
        <w:rPr>
          <w:rFonts w:hint="eastAsia" w:ascii="宋体" w:hAnsi="宋体" w:eastAsia="宋体" w:cs="宋体"/>
          <w:b/>
          <w:bCs/>
          <w:color w:val="auto"/>
          <w:sz w:val="24"/>
          <w:highlight w:val="none"/>
        </w:rPr>
        <w:t xml:space="preserve">一次）</w:t>
      </w:r>
      <w:r>
        <w:rPr>
          <w:rFonts w:hint="eastAsia" w:ascii="宋体" w:hAnsi="宋体" w:eastAsia="宋体" w:cs="宋体"/>
          <w:color w:val="auto"/>
          <w:sz w:val="24"/>
          <w:highlight w:val="none"/>
        </w:rPr>
        <w:t xml:space="preserve">；废水、废气监测有多个排污口的</w:t>
      </w:r>
      <w:r>
        <w:rPr>
          <w:rFonts w:hint="eastAsia" w:ascii="宋体" w:hAnsi="宋体" w:eastAsia="宋体" w:cs="宋体"/>
          <w:b w:val="0"/>
          <w:bCs w:val="0"/>
          <w:color w:val="auto"/>
          <w:sz w:val="24"/>
          <w:highlight w:val="none"/>
          <w:lang w:val="en-US" w:eastAsia="zh-CN"/>
        </w:rPr>
        <w:t xml:space="preserve">应</w:t>
      </w:r>
      <w:r>
        <w:rPr>
          <w:rFonts w:hint="eastAsia" w:ascii="宋体" w:hAnsi="宋体" w:eastAsia="宋体" w:cs="宋体"/>
          <w:b w:val="0"/>
          <w:bCs w:val="0"/>
          <w:color w:val="auto"/>
          <w:sz w:val="24"/>
          <w:highlight w:val="none"/>
        </w:rPr>
        <w:t xml:space="preserve">选取</w:t>
      </w:r>
      <w:r>
        <w:rPr>
          <w:rFonts w:hint="eastAsia" w:ascii="宋体" w:hAnsi="宋体" w:eastAsia="宋体" w:cs="宋体"/>
          <w:b/>
          <w:bCs/>
          <w:color w:val="auto"/>
          <w:sz w:val="24"/>
          <w:highlight w:val="none"/>
        </w:rPr>
        <w:t xml:space="preserve">主排污口</w:t>
      </w:r>
      <w:r>
        <w:rPr>
          <w:rFonts w:hint="eastAsia" w:ascii="宋体" w:hAnsi="宋体" w:eastAsia="宋体" w:cs="宋体"/>
          <w:b w:val="0"/>
          <w:bCs w:val="0"/>
          <w:color w:val="auto"/>
          <w:sz w:val="24"/>
          <w:highlight w:val="none"/>
        </w:rPr>
        <w:t xml:space="preserve">进行抽测，</w:t>
      </w:r>
      <w:r>
        <w:rPr>
          <w:rFonts w:hint="eastAsia" w:ascii="宋体" w:hAnsi="宋体" w:eastAsia="宋体" w:cs="宋体"/>
          <w:color w:val="auto"/>
          <w:sz w:val="24"/>
          <w:highlight w:val="none"/>
        </w:rPr>
        <w:t xml:space="preserve">水、气重点排污单位涉及水、气在线监测系统多套需开展比对监测的仅选一套在线监控系统开展比对监测，对土壤重点排污单位监测内容为pH值、重金属（镉、汞、砷、铅、铬、铜、镍、锌等8种元素），上述监测类别、项目、具体点位及频次按照相关监测任务、环评审批要求、生产的实际情况及特殊行业的特殊要求以及省厅202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年和202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年监测工作要点和监测方案中的要求执行。具体名单详见表</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rPr>
        <w:t xml:space="preserve">。</w:t>
      </w:r>
      <w:r/>
    </w:p>
    <w:p>
      <w:pPr>
        <w:ind w:right="0"/>
        <w:jc w:val="center"/>
        <w:keepLines w:val="0"/>
        <w:keepNext w:val="0"/>
        <w:pageBreakBefore w:val="0"/>
        <w:spacing w:line="400" w:lineRule="exact"/>
        <w:widowControl w:val="off"/>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表</w:t>
      </w:r>
      <w:r>
        <w:rPr>
          <w:rFonts w:hint="eastAsia" w:ascii="宋体" w:hAnsi="宋体" w:eastAsia="宋体" w:cs="宋体"/>
          <w:color w:val="auto"/>
          <w:spacing w:val="7"/>
          <w:sz w:val="24"/>
          <w:szCs w:val="24"/>
          <w:lang w:val="en-US" w:eastAsia="zh-CN"/>
        </w:rPr>
        <w:t xml:space="preserve">3 </w:t>
      </w:r>
      <w:r>
        <w:rPr>
          <w:rFonts w:hint="default" w:ascii="宋体" w:hAnsi="宋体" w:eastAsia="宋体" w:cs="宋体"/>
          <w:color w:val="auto"/>
          <w:spacing w:val="7"/>
          <w:sz w:val="24"/>
          <w:szCs w:val="24"/>
          <w:lang w:val="en-US" w:eastAsia="zh-CN"/>
        </w:rPr>
        <w:t xml:space="preserve">重点排污单位监督性</w:t>
      </w:r>
      <w:r>
        <w:rPr>
          <w:rFonts w:hint="eastAsia" w:ascii="宋体" w:hAnsi="宋体" w:eastAsia="宋体" w:cs="宋体"/>
          <w:color w:val="auto"/>
          <w:spacing w:val="7"/>
          <w:sz w:val="24"/>
          <w:szCs w:val="24"/>
          <w:lang w:val="en-US" w:eastAsia="zh-CN"/>
        </w:rPr>
        <w:t xml:space="preserve">（执法）</w:t>
      </w:r>
      <w:r>
        <w:rPr>
          <w:rFonts w:hint="default" w:ascii="宋体" w:hAnsi="宋体" w:eastAsia="宋体" w:cs="宋体"/>
          <w:color w:val="auto"/>
          <w:spacing w:val="7"/>
          <w:sz w:val="24"/>
          <w:szCs w:val="24"/>
          <w:lang w:val="en-US" w:eastAsia="zh-CN"/>
        </w:rPr>
        <w:t xml:space="preserve">监测</w:t>
      </w:r>
      <w:r>
        <w:rPr>
          <w:rFonts w:hint="eastAsia" w:ascii="宋体" w:hAnsi="宋体" w:eastAsia="宋体" w:cs="宋体"/>
          <w:color w:val="auto"/>
          <w:spacing w:val="7"/>
          <w:sz w:val="24"/>
          <w:szCs w:val="24"/>
        </w:rPr>
        <w:t xml:space="preserve">企业名单</w:t>
      </w:r>
      <w:r/>
    </w:p>
    <w:tbl>
      <w:tblPr>
        <w:tblStyle w:val="78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601"/>
        <w:gridCol w:w="992"/>
        <w:gridCol w:w="1413"/>
        <w:gridCol w:w="457"/>
        <w:gridCol w:w="2632"/>
        <w:gridCol w:w="1967"/>
      </w:tblGrid>
      <w:tr>
        <w:trPr>
          <w:jc w:val="center"/>
          <w:trHeight w:val="90"/>
        </w:trPr>
        <w:tc>
          <w:tcPr>
            <w:shd w:val="clear" w:color="auto" w:fill="auto"/>
            <w:tcW w:w="268" w:type="pct"/>
            <w:vAlign w:val="center"/>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序号</w:t>
            </w:r>
            <w:r/>
          </w:p>
        </w:tc>
        <w:tc>
          <w:tcPr>
            <w:shd w:val="clear" w:color="auto" w:fill="auto"/>
            <w:tcW w:w="353" w:type="pct"/>
            <w:vAlign w:val="center"/>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地区</w:t>
            </w:r>
            <w:r/>
          </w:p>
        </w:tc>
        <w:tc>
          <w:tcPr>
            <w:shd w:val="clear" w:color="auto" w:fill="auto"/>
            <w:tcW w:w="582" w:type="pct"/>
            <w:vAlign w:val="center"/>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名称</w:t>
            </w:r>
            <w:r/>
          </w:p>
        </w:tc>
        <w:tc>
          <w:tcPr>
            <w:shd w:val="clear" w:color="auto" w:fill="auto"/>
            <w:tcW w:w="829" w:type="pct"/>
            <w:vAlign w:val="center"/>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排污口编号</w:t>
            </w:r>
            <w:r/>
          </w:p>
        </w:tc>
        <w:tc>
          <w:tcPr>
            <w:shd w:val="clear" w:color="auto" w:fill="auto"/>
            <w:tcW w:w="268" w:type="pct"/>
            <w:vAlign w:val="center"/>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频次</w:t>
            </w:r>
            <w:r/>
          </w:p>
        </w:tc>
        <w:tc>
          <w:tcPr>
            <w:shd w:val="clear" w:color="auto" w:fill="auto"/>
            <w:tcW w:w="1544" w:type="pct"/>
            <w:vAlign w:val="center"/>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监测因子</w:t>
            </w:r>
            <w:r/>
          </w:p>
        </w:tc>
        <w:tc>
          <w:tcPr>
            <w:shd w:val="clear" w:color="auto" w:fill="auto"/>
            <w:tcW w:w="1154" w:type="pct"/>
            <w:vAlign w:val="center"/>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rPr>
              <w:t xml:space="preserve">执行标准</w:t>
            </w:r>
            <w:r/>
          </w:p>
        </w:tc>
      </w:tr>
      <w:tr>
        <w:trPr>
          <w:jc w:val="center"/>
          <w:trHeight w:val="936"/>
        </w:trPr>
        <w:tc>
          <w:tcPr>
            <w:shd w:val="clear" w:color="auto" w:fill="auto"/>
            <w:tcW w:w="268"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1</w:t>
            </w:r>
            <w:r/>
          </w:p>
        </w:tc>
        <w:tc>
          <w:tcPr>
            <w:shd w:val="clear" w:color="auto" w:fill="auto"/>
            <w:tcW w:w="353"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铜山</w:t>
            </w:r>
            <w:r/>
          </w:p>
        </w:tc>
        <w:tc>
          <w:tcPr>
            <w:shd w:val="clear" w:color="auto" w:fill="auto"/>
            <w:tcW w:w="582"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徐州鑫盛润环保能源有限公司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DA001、DA002、DA003任选一个</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四次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低颗粒物、氯化氢、氮氧化物、二氧化硫、一氧化碳,锑、砷、铅、铬、钴、铜、锰、镍及其化合物（以Sb+As+Pb+Cr+Co+Cu+Mn+Ni计）、镉、铊及其化合物（以Cd+Tl计）、汞及其化合物</w:t>
            </w:r>
            <w:r/>
          </w:p>
        </w:tc>
        <w:tc>
          <w:tcPr>
            <w:shd w:val="clear" w:color="auto" w:fill="auto"/>
            <w:tcW w:w="1154" w:type="pct"/>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生活垃圾焚烧污染控制标准GB 18485-2014</w:t>
            </w:r>
            <w:r/>
          </w:p>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90"/>
        </w:trPr>
        <w:tc>
          <w:tcPr>
            <w:tcW w:w="268"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353"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582"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DA001、DA002、DA003任选一个</w:t>
            </w:r>
            <w:r/>
          </w:p>
        </w:tc>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低颗粒物,氮氧化物、二氧化硫废气在线比对监测</w:t>
            </w:r>
            <w:r/>
          </w:p>
        </w:tc>
        <w:tc>
          <w:tcPr>
            <w:tcW w:w="1154"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268"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353"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582"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DA001、DA002、DA003任选一个</w:t>
            </w:r>
            <w:r/>
          </w:p>
        </w:tc>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b/>
                <w:bCs/>
                <w:color w:val="auto"/>
                <w:szCs w:val="21"/>
              </w:rPr>
              <w:t xml:space="preserve">一次</w:t>
            </w:r>
            <w:r>
              <w:rPr>
                <w:rFonts w:hint="eastAsia" w:ascii="宋体" w:hAnsi="宋体" w:eastAsia="宋体" w:cs="宋体"/>
                <w:color w:val="auto"/>
                <w:szCs w:val="21"/>
              </w:rPr>
              <w:t xml:space="preserve">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tcW w:w="1154"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90"/>
        </w:trPr>
        <w:tc>
          <w:tcPr>
            <w:tcW w:w="268"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353"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582" w:type="pct"/>
            <w:vMerge w:val="continue"/>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1 家企业5个测点，表层土</w:t>
            </w:r>
            <w:r/>
          </w:p>
        </w:tc>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PH值、重金属（镉、汞、砷、铅、铬、铜、镍、锌等8种元素）</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《土壤环境质量建设用</w:t>
            </w:r>
            <w:r/>
          </w:p>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地土壤污染风险管控标准（试行）（GB36600-2018）》</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2</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新沂</w:t>
            </w:r>
            <w:r>
              <w:rPr>
                <w:rFonts w:hint="eastAsia" w:ascii="宋体" w:hAnsi="宋体" w:eastAsia="宋体" w:cs="宋体"/>
                <w:color w:val="auto"/>
                <w:szCs w:val="21"/>
                <w:lang w:val="en-US" w:eastAsia="zh-CN"/>
              </w:rPr>
              <w:t xml:space="preserve">市</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新沂高能环保能源有限公司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DA001、DAOO2任选一个</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生活垃圾焚烧污染控制标准GB 18485-2014</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新沂</w:t>
            </w:r>
            <w:r>
              <w:rPr>
                <w:rFonts w:hint="eastAsia" w:ascii="宋体" w:hAnsi="宋体" w:eastAsia="宋体" w:cs="宋体"/>
                <w:color w:val="auto"/>
                <w:szCs w:val="21"/>
                <w:lang w:val="en-US" w:eastAsia="zh-CN"/>
              </w:rPr>
              <w:t xml:space="preserve">市</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光大环保固废处置（新沂）有限公司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DA002、DAOO7任选一个</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危险废物焚烧污染控制标准 GB 18484-2020</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丰县</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光大绿色环保城乡再生能源（丰县）有限公司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DA004、DAOO5任选一个</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生活垃圾焚烧污染控制标准GB 18485-2014</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丰县</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江苏弘德环保科技有限公司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DA004</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危险废物焚烧污染控制标准 GB18484-2020</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沛县</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光大环保能源（沛县）有限公司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DA001</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生活垃圾焚烧污染控制标准GB 18485-2014</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7</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睢宁</w:t>
            </w:r>
            <w:r>
              <w:rPr>
                <w:rFonts w:hint="eastAsia" w:ascii="宋体" w:hAnsi="宋体" w:eastAsia="宋体" w:cs="宋体"/>
                <w:color w:val="auto"/>
                <w:szCs w:val="21"/>
                <w:lang w:val="en-US" w:eastAsia="zh-CN"/>
              </w:rPr>
              <w:t xml:space="preserve">县</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睢宁宝源新能源发电有限公司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DA002、DAOO3任选一个</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生活垃圾焚烧污染控制标准GB 18485-2014</w:t>
            </w:r>
            <w:r/>
          </w:p>
        </w:tc>
      </w:tr>
      <w:tr>
        <w:trPr>
          <w:jc w:val="center"/>
          <w:trHeight w:val="201"/>
        </w:trPr>
        <w:tc>
          <w:tcPr>
            <w:shd w:val="clear" w:color="auto" w:fill="auto"/>
            <w:tcW w:w="268" w:type="pct"/>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8</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睢宁</w:t>
            </w:r>
            <w:r>
              <w:rPr>
                <w:rFonts w:hint="eastAsia" w:ascii="宋体" w:hAnsi="宋体" w:eastAsia="宋体" w:cs="宋体"/>
                <w:color w:val="auto"/>
                <w:szCs w:val="21"/>
                <w:lang w:val="en-US" w:eastAsia="zh-CN"/>
              </w:rPr>
              <w:t xml:space="preserve">县</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徐州平福环保科技有限公司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DA002</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危险废物焚烧污染控制标准 GB18484-2020</w:t>
            </w:r>
            <w:r/>
          </w:p>
        </w:tc>
      </w:tr>
      <w:tr>
        <w:trPr>
          <w:jc w:val="center"/>
          <w:trHeight w:val="201"/>
        </w:trPr>
        <w:tc>
          <w:tcPr>
            <w:shd w:val="clear" w:color="auto" w:fill="auto"/>
            <w:tcW w:w="268" w:type="pct"/>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9</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邳州</w:t>
            </w:r>
            <w:r>
              <w:rPr>
                <w:rFonts w:hint="eastAsia" w:ascii="宋体" w:hAnsi="宋体" w:eastAsia="宋体" w:cs="宋体"/>
                <w:color w:val="auto"/>
                <w:szCs w:val="21"/>
                <w:lang w:val="en-US" w:eastAsia="zh-CN"/>
              </w:rPr>
              <w:t xml:space="preserve">市</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光大环保能源（邳州）有限公司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DA004、DAOO5、DAOO6任选一个</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生活垃圾焚烧污染控制标准GB 18485-2014</w:t>
            </w:r>
            <w:r/>
          </w:p>
        </w:tc>
      </w:tr>
      <w:tr>
        <w:trPr>
          <w:jc w:val="center"/>
          <w:trHeight w:val="201"/>
        </w:trPr>
        <w:tc>
          <w:tcPr>
            <w:shd w:val="clear" w:color="auto" w:fill="auto"/>
            <w:tcW w:w="268" w:type="pct"/>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10</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贾汪区</w:t>
            </w:r>
            <w:r/>
          </w:p>
        </w:tc>
        <w:tc>
          <w:tcPr>
            <w:shd w:val="clear" w:color="auto" w:fill="auto"/>
            <w:tcW w:w="582" w:type="pct"/>
            <w:vAlign w:val="center"/>
            <w:textDirection w:val="lrTb"/>
            <w:noWrap w:val="false"/>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徐州诺恩固体废物处置有限公司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江苏诺恩环境有限公司</w:t>
            </w:r>
            <w:r>
              <w:rPr>
                <w:rFonts w:hint="eastAsia" w:ascii="宋体" w:hAnsi="宋体" w:eastAsia="宋体" w:cs="宋体"/>
                <w:color w:val="auto"/>
                <w:szCs w:val="21"/>
                <w:highlight w:val="none"/>
                <w:lang w:eastAsia="zh-CN"/>
              </w:rPr>
              <w:t xml:space="preserve">）</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DA002</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危险废物焚烧污染控制标准 GB 18484-2020</w:t>
            </w:r>
            <w:r/>
          </w:p>
        </w:tc>
      </w:tr>
      <w:tr>
        <w:trPr>
          <w:jc w:val="center"/>
          <w:trHeight w:val="201"/>
        </w:trPr>
        <w:tc>
          <w:tcPr>
            <w:shd w:val="clear" w:color="auto" w:fill="auto"/>
            <w:tcW w:w="268" w:type="pct"/>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11</w:t>
            </w:r>
            <w:r/>
          </w:p>
        </w:tc>
        <w:tc>
          <w:tcPr>
            <w:shd w:val="clear" w:color="auto" w:fill="auto"/>
            <w:tcW w:w="353"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贾汪区</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徐州鸿誉环境科技有限公司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DA001、DAOO2、DAOO3任选一个</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危险废物焚烧污染控制标准 GB 18484-2020</w:t>
            </w:r>
            <w:r/>
          </w:p>
        </w:tc>
      </w:tr>
      <w:tr>
        <w:trPr>
          <w:jc w:val="center"/>
          <w:trHeight w:val="201"/>
        </w:trPr>
        <w:tc>
          <w:tcPr>
            <w:shd w:val="clear" w:color="auto" w:fill="auto"/>
            <w:tcW w:w="268" w:type="pct"/>
            <w:vAlign w:val="center"/>
            <w:vMerge w:val="restart"/>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12</w:t>
            </w:r>
            <w:r/>
          </w:p>
        </w:tc>
        <w:tc>
          <w:tcPr>
            <w:shd w:val="clear" w:color="auto" w:fill="auto"/>
            <w:tcW w:w="353"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经开区</w:t>
            </w:r>
            <w:r/>
          </w:p>
        </w:tc>
        <w:tc>
          <w:tcPr>
            <w:shd w:val="clear" w:color="auto" w:fill="auto"/>
            <w:tcW w:w="582"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徐州市危险废物集中处置中心有限公司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DA001</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四次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低颗粒物、氯化氢、氮氧化物、二氧化硫、一氧化碳,锑、砷、铅、铬、钴、铜、锰、镍及其化合物（以Sb+As+Pb+Cr+Co+Cu+Mn+Ni计）、镉、铊及其化合物（以Cd+Tl计）、汞及其化合物</w:t>
            </w:r>
            <w:r/>
          </w:p>
        </w:tc>
        <w:tc>
          <w:tcPr>
            <w:shd w:val="clear" w:color="auto" w:fill="auto"/>
            <w:tcW w:w="1154"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大气污染物综合排放标准DB32/4041-2021,锅炉大气污染物排放标准DB32/4385-2022,危险废物焚烧污染控制标准 GB 18484-2020,医疗废物处理处置污染控制标准GB 39707-2020</w:t>
            </w:r>
            <w:r/>
          </w:p>
        </w:tc>
      </w:tr>
      <w:tr>
        <w:trPr>
          <w:jc w:val="center"/>
          <w:trHeight w:val="201"/>
        </w:trPr>
        <w:tc>
          <w:tcPr>
            <w:shd w:val="clear" w:color="auto" w:fill="auto"/>
            <w:tcW w:w="268"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353"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582" w:type="pct"/>
            <w:vAlign w:val="center"/>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DA001</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低颗粒物、氮氧化物、二氧化硫废气在线比对监测</w:t>
            </w:r>
            <w:r/>
          </w:p>
        </w:tc>
        <w:tc>
          <w:tcPr>
            <w:shd w:val="clear" w:color="auto" w:fill="auto"/>
            <w:tcW w:w="1154" w:type="pct"/>
            <w:vAlign w:val="top"/>
            <w:vMerge w:val="continue"/>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jc w:val="center"/>
          <w:trHeight w:val="201"/>
        </w:trPr>
        <w:tc>
          <w:tcPr>
            <w:tcW w:w="268"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353"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582"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DA001</w:t>
            </w:r>
            <w:r/>
          </w:p>
        </w:tc>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b/>
                <w:bCs/>
                <w:color w:val="auto"/>
                <w:szCs w:val="21"/>
              </w:rPr>
              <w:t xml:space="preserve">一次</w:t>
            </w:r>
            <w:r>
              <w:rPr>
                <w:rFonts w:hint="eastAsia" w:ascii="宋体" w:hAnsi="宋体" w:eastAsia="宋体" w:cs="宋体"/>
                <w:color w:val="auto"/>
                <w:szCs w:val="21"/>
              </w:rPr>
              <w:t xml:space="preserve">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top"/>
            <w:vMerge w:val="continue"/>
            <w:textDirection w:val="lrTb"/>
            <w:noWrap w:val="false"/>
          </w:tcPr>
          <w:p>
            <w:pPr>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jc w:val="center"/>
          <w:trHeight w:val="201"/>
        </w:trPr>
        <w:tc>
          <w:tcPr>
            <w:tcW w:w="268"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353"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582"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1 家企业5个测点，表层土</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PH值、有机污染物(镉、汞、砷、铅、铬、铜、镍、锌等8种元素）</w:t>
            </w:r>
            <w:r/>
          </w:p>
        </w:tc>
        <w:tc>
          <w:tcPr>
            <w:shd w:val="clear" w:color="auto" w:fill="auto"/>
            <w:tcW w:w="115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《土壤环境质量建设用地土壤污染风险管控标准（试行）（GB36600-2018）》</w:t>
            </w:r>
            <w:r/>
          </w:p>
        </w:tc>
      </w:tr>
      <w:tr>
        <w:trPr>
          <w:jc w:val="center"/>
          <w:trHeight w:val="201"/>
        </w:trPr>
        <w:tc>
          <w:tcPr>
            <w:shd w:val="clear" w:color="auto" w:fill="auto"/>
            <w:tcW w:w="268" w:type="pct"/>
            <w:vAlign w:val="center"/>
            <w:vMerge w:val="restart"/>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13</w:t>
            </w:r>
            <w:r/>
          </w:p>
        </w:tc>
        <w:tc>
          <w:tcPr>
            <w:shd w:val="clear" w:color="auto" w:fill="auto"/>
            <w:tcW w:w="353"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经开区</w:t>
            </w:r>
            <w:r/>
          </w:p>
        </w:tc>
        <w:tc>
          <w:tcPr>
            <w:shd w:val="clear" w:color="auto" w:fill="auto"/>
            <w:tcW w:w="582"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徐州协鑫环保能源有限公司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DA001-DA003</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四次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低颗粒物、氯化氢、氮氧化物、二氧化硫、一氧化碳,锑、砷、铅、铬、钴、铜、锰、镍及其化合物（以Sb+As+Pb+Cr+Co+Cu+Mn+Ni计）、镉、铊及其化合物（以Cd+Tl计）、汞及其化合物</w:t>
            </w:r>
            <w:r/>
          </w:p>
        </w:tc>
        <w:tc>
          <w:tcPr>
            <w:shd w:val="clear" w:color="auto" w:fill="auto"/>
            <w:tcW w:w="1154"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生活垃圾焚烧污染控制标准GB 18485-2014,恶臭污染物排放标准GB 14554-93,大气污染物综合排放标准DB32/4041-2021</w:t>
            </w:r>
            <w:r/>
          </w:p>
        </w:tc>
      </w:tr>
      <w:tr>
        <w:trPr>
          <w:jc w:val="center"/>
          <w:trHeight w:val="201"/>
        </w:trPr>
        <w:tc>
          <w:tcPr>
            <w:tcW w:w="268"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353"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582"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DA001-DA003</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低颗粒物,氮氧化物、二氧化硫废气在线比对监测,</w:t>
            </w:r>
            <w:r/>
          </w:p>
        </w:tc>
        <w:tc>
          <w:tcPr>
            <w:shd w:val="clear" w:color="auto" w:fill="auto"/>
            <w:tcW w:w="1154" w:type="pct"/>
            <w:vAlign w:val="top"/>
            <w:vMerge w:val="continue"/>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90"/>
        </w:trPr>
        <w:tc>
          <w:tcPr>
            <w:tcW w:w="268"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353"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582"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829"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DA001-DA003</w:t>
            </w:r>
            <w:r/>
          </w:p>
        </w:tc>
        <w:tc>
          <w:tcPr>
            <w:shd w:val="clear" w:color="auto" w:fill="auto"/>
            <w:tcW w:w="268"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b/>
                <w:bCs/>
                <w:color w:val="auto"/>
                <w:szCs w:val="21"/>
              </w:rPr>
              <w:t xml:space="preserve">一次</w:t>
            </w:r>
            <w:r>
              <w:rPr>
                <w:rFonts w:hint="eastAsia" w:ascii="宋体" w:hAnsi="宋体" w:eastAsia="宋体" w:cs="宋体"/>
                <w:color w:val="auto"/>
                <w:szCs w:val="21"/>
              </w:rPr>
              <w:t xml:space="preserve"> </w:t>
            </w:r>
            <w:r/>
          </w:p>
        </w:tc>
        <w:tc>
          <w:tcPr>
            <w:shd w:val="clear" w:color="auto" w:fill="auto"/>
            <w:tcW w:w="154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二噁英</w:t>
            </w:r>
            <w:r/>
          </w:p>
        </w:tc>
        <w:tc>
          <w:tcPr>
            <w:shd w:val="clear" w:color="auto" w:fill="auto"/>
            <w:tcW w:w="1154" w:type="pct"/>
            <w:vAlign w:val="top"/>
            <w:vMerge w:val="continue"/>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201"/>
        </w:trPr>
        <w:tc>
          <w:tcPr>
            <w:tcW w:w="268"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353"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582"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DW001</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化学需氧量,氨氮（NH3-N）,总磷（以P计）,pH值,总汞,总镉,总铬,总砷,总铅,六价铬,五日生化需氧量,总氮（以N计）,粪大肠菌群,悬浮物,石油类</w:t>
            </w:r>
            <w:r/>
          </w:p>
        </w:tc>
        <w:tc>
          <w:tcPr>
            <w:shd w:val="clear" w:color="auto" w:fill="auto"/>
            <w:tcW w:w="115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污水综合排放标准GB8978-1996</w:t>
            </w:r>
            <w:r/>
          </w:p>
        </w:tc>
      </w:tr>
      <w:tr>
        <w:trPr>
          <w:jc w:val="center"/>
          <w:trHeight w:val="201"/>
        </w:trPr>
        <w:tc>
          <w:tcPr>
            <w:shd w:val="clear" w:color="auto" w:fill="auto"/>
            <w:tcW w:w="268" w:type="pct"/>
            <w:vAlign w:val="center"/>
            <w:vMerge w:val="restart"/>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14</w:t>
            </w:r>
            <w:r/>
          </w:p>
        </w:tc>
        <w:tc>
          <w:tcPr>
            <w:shd w:val="clear" w:color="auto" w:fill="auto"/>
            <w:tcW w:w="353"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经开区</w:t>
            </w:r>
            <w:r/>
          </w:p>
        </w:tc>
        <w:tc>
          <w:tcPr>
            <w:shd w:val="clear" w:color="auto" w:fill="auto"/>
            <w:tcW w:w="582" w:type="pct"/>
            <w:vAlign w:val="center"/>
            <w:vMerge w:val="restart"/>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徐州浩通新材料科技股份有限公司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DA001</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氯化氢,硫酸雾,氯（氯气）,氨（氨气）,挥发性有机物,二氧化硫,氮氧化物,颗粒物,林格曼黑度</w:t>
            </w:r>
            <w:r/>
          </w:p>
        </w:tc>
        <w:tc>
          <w:tcPr>
            <w:shd w:val="clear" w:color="auto" w:fill="auto"/>
            <w:tcW w:w="1154" w:type="pct"/>
            <w:vAlign w:val="center"/>
            <w:vMerge w:val="restart"/>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大气污染物综合排放标准DB32/4041-2021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工业炉窑大气污染物排放标准DB 32/3728-2020</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危险废物焚烧污染控制标准 GB 18484-2020</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锅炉大气污染物排放标准GB 13271-2014</w:t>
            </w:r>
            <w:r/>
          </w:p>
        </w:tc>
      </w:tr>
      <w:tr>
        <w:trPr>
          <w:jc w:val="center"/>
          <w:trHeight w:val="201"/>
        </w:trPr>
        <w:tc>
          <w:tcPr>
            <w:tcW w:w="268"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353"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W w:w="582"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DA001</w:t>
            </w:r>
            <w:r/>
          </w:p>
        </w:tc>
        <w:tc>
          <w:tcPr>
            <w:shd w:val="clear" w:color="auto" w:fill="auto"/>
            <w:tcW w:w="268" w:type="pct"/>
            <w:vAlign w:val="center"/>
            <w:textDirection w:val="lrTb"/>
            <w:noWrap w:val="false"/>
          </w:tcPr>
          <w:p>
            <w:pPr>
              <w:jc w:val="center"/>
              <w:rPr>
                <w:rFonts w:hint="eastAsia" w:ascii="宋体" w:hAnsi="宋体" w:eastAsia="宋体" w:cs="宋体"/>
                <w:b/>
                <w:bCs/>
                <w:color w:val="auto"/>
                <w:szCs w:val="21"/>
                <w:lang w:val="en-US" w:eastAsia="zh-CN"/>
              </w:rPr>
            </w:pPr>
            <w:r>
              <w:rPr>
                <w:rFonts w:hint="eastAsia" w:ascii="宋体" w:hAnsi="宋体" w:eastAsia="宋体" w:cs="宋体"/>
                <w:b/>
                <w:bCs/>
                <w:color w:val="auto"/>
                <w:szCs w:val="21"/>
              </w:rPr>
              <w:t xml:space="preserve">一次 </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二噁英</w:t>
            </w:r>
            <w:r/>
          </w:p>
        </w:tc>
        <w:tc>
          <w:tcPr>
            <w:tcW w:w="1154" w:type="pct"/>
            <w:vMerge w:val="continue"/>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201"/>
        </w:trPr>
        <w:tc>
          <w:tcPr>
            <w:shd w:val="clear" w:color="auto" w:fill="auto"/>
            <w:tcW w:w="268" w:type="pct"/>
            <w:vAlign w:val="center"/>
            <w:vMerge w:val="restart"/>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1</w:t>
            </w:r>
            <w:r>
              <w:rPr>
                <w:rFonts w:hint="eastAsia" w:ascii="宋体" w:hAnsi="宋体" w:eastAsia="宋体" w:cs="Times New Roman"/>
                <w:color w:val="auto"/>
                <w:sz w:val="20"/>
                <w:szCs w:val="24"/>
                <w:lang w:val="en-US" w:eastAsia="zh-CN"/>
              </w:rPr>
              <w:t xml:space="preserve">5</w:t>
            </w:r>
            <w:r/>
          </w:p>
        </w:tc>
        <w:tc>
          <w:tcPr>
            <w:shd w:val="clear" w:color="auto" w:fill="auto"/>
            <w:tcW w:w="353" w:type="pct"/>
            <w:vAlign w:val="center"/>
            <w:vMerge w:val="restart"/>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经开区</w:t>
            </w:r>
            <w:r/>
          </w:p>
        </w:tc>
        <w:tc>
          <w:tcPr>
            <w:shd w:val="clear" w:color="auto" w:fill="auto"/>
            <w:tcW w:w="582" w:type="pct"/>
            <w:vAlign w:val="center"/>
            <w:vMerge w:val="restart"/>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江苏中能硅业科技发展有限公司</w:t>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DA001-DA031</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氯化氢,颗粒物,二氧化硫,烟气黑度,氮氧化物,</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锅炉大气污染物排放标准GB 13271-2014</w:t>
            </w:r>
            <w:r>
              <w:rPr>
                <w:rFonts w:hint="eastAsia" w:ascii="宋体" w:hAnsi="宋体" w:eastAsia="宋体" w:cs="Times New Roman"/>
                <w:color w:val="auto"/>
                <w:sz w:val="20"/>
                <w:szCs w:val="24"/>
                <w:lang w:eastAsia="zh-CN"/>
              </w:rPr>
              <w:t xml:space="preserve">，</w:t>
            </w:r>
            <w:r>
              <w:rPr>
                <w:rFonts w:hint="eastAsia" w:ascii="宋体" w:hAnsi="宋体" w:eastAsia="宋体" w:cs="Times New Roman"/>
                <w:color w:val="auto"/>
                <w:sz w:val="20"/>
                <w:szCs w:val="24"/>
              </w:rPr>
              <w:t xml:space="preserve">大气污染物综合排放标准DB32/4041-2021</w:t>
            </w:r>
            <w:r/>
          </w:p>
        </w:tc>
      </w:tr>
      <w:tr>
        <w:trPr>
          <w:jc w:val="center"/>
          <w:trHeight w:val="201"/>
        </w:trPr>
        <w:tc>
          <w:tcPr>
            <w:shd w:val="clear" w:color="auto" w:fill="auto"/>
            <w:tcW w:w="268"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353"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582"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DW001</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化学需氧量,pH值,悬浮物,五日生化需氧量,氨氮（NH3-N）,总磷（以P计）,总氮（以N计）,全盐量,氯化物（以Cl-计）</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污水综合排放标准GB8978-1996</w:t>
            </w:r>
            <w:r/>
          </w:p>
        </w:tc>
      </w:tr>
      <w:tr>
        <w:trPr>
          <w:jc w:val="center"/>
          <w:trHeight w:val="201"/>
        </w:trPr>
        <w:tc>
          <w:tcPr>
            <w:shd w:val="clear" w:color="auto" w:fill="auto"/>
            <w:tcW w:w="268"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353"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582"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1 家企业5个测点，表层土</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PH值、重金属（镉、汞、砷、铅、铬、铜、镍、锌等8种元素）</w:t>
            </w:r>
            <w:r/>
          </w:p>
        </w:tc>
        <w:tc>
          <w:tcPr>
            <w:shd w:val="clear" w:color="auto" w:fill="auto"/>
            <w:tcW w:w="1154" w:type="pct"/>
            <w:vAlign w:val="center"/>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t xml:space="preserve">《土壤环境质量建设用</w:t>
            </w:r>
            <w:r/>
          </w:p>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地土壤污染风险管控标准（试行）（GB36600-2018）》</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1</w:t>
            </w:r>
            <w:r>
              <w:rPr>
                <w:rFonts w:hint="eastAsia" w:ascii="宋体" w:hAnsi="宋体" w:eastAsia="宋体" w:cs="Times New Roman"/>
                <w:color w:val="auto"/>
                <w:sz w:val="20"/>
                <w:szCs w:val="24"/>
                <w:lang w:val="en-US" w:eastAsia="zh-CN"/>
              </w:rPr>
              <w:t xml:space="preserve">6</w:t>
            </w:r>
            <w:r/>
          </w:p>
        </w:tc>
        <w:tc>
          <w:tcPr>
            <w:shd w:val="clear" w:color="auto" w:fill="auto"/>
            <w:tcW w:w="353"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经开区</w:t>
            </w:r>
            <w:r/>
          </w:p>
        </w:tc>
        <w:tc>
          <w:tcPr>
            <w:shd w:val="clear" w:color="auto" w:fill="auto"/>
            <w:tcW w:w="582"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徐州华艺彩色印刷有限公司</w:t>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DA001</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苯系物,苯,非甲烷总烃,挥发性有机物,二氧化硫,氮氧化物,颗粒物,林格曼黑度</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印刷工业大气污染物排放标准DB32/4438-2022,大气污染物综合排放标准DB32/4041-2021,电镀污染物排放标准GB 21900-2008,,锅炉大气污染物排放标准DB32/ 4385-2022</w:t>
            </w:r>
            <w:r/>
          </w:p>
        </w:tc>
      </w:tr>
      <w:tr>
        <w:trPr>
          <w:jc w:val="center"/>
          <w:trHeight w:val="201"/>
        </w:trPr>
        <w:tc>
          <w:tcPr>
            <w:shd w:val="clear" w:color="auto" w:fill="auto"/>
            <w:tcW w:w="268" w:type="pct"/>
            <w:vAlign w:val="center"/>
            <w:vMerge w:val="restart"/>
            <w:textDirection w:val="lrTb"/>
            <w:noWrap w:val="false"/>
          </w:tcPr>
          <w:p>
            <w:pPr>
              <w:jc w:val="center"/>
              <w:rPr>
                <w:rFonts w:hint="default"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lang w:val="en-US" w:eastAsia="zh-CN"/>
              </w:rPr>
              <w:t xml:space="preserve">17</w:t>
            </w:r>
            <w:r/>
          </w:p>
        </w:tc>
        <w:tc>
          <w:tcPr>
            <w:shd w:val="clear" w:color="auto" w:fill="auto"/>
            <w:tcW w:w="353" w:type="pct"/>
            <w:vAlign w:val="center"/>
            <w:vMerge w:val="restart"/>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经开区</w:t>
            </w:r>
            <w:r/>
          </w:p>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582" w:type="pct"/>
            <w:vAlign w:val="center"/>
            <w:vMerge w:val="restart"/>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徐州瑞马科宝金属制品有限公司</w:t>
            </w:r>
            <w:r/>
          </w:p>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DA020-DA036</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颗粒物,氨（氨气）,氯化氢,林格曼黑度,氮氧化物,二氧化硫</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工业炉窑大气污染物排放标准DB 32/3728-2020,大气污染物综合排放标准DB32/4041-2021</w:t>
            </w:r>
            <w:r/>
          </w:p>
        </w:tc>
      </w:tr>
      <w:tr>
        <w:trPr>
          <w:jc w:val="center"/>
          <w:trHeight w:val="201"/>
        </w:trPr>
        <w:tc>
          <w:tcPr>
            <w:shd w:val="clear" w:color="auto" w:fill="auto"/>
            <w:tcW w:w="268"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353"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582" w:type="pct"/>
            <w:vAlign w:val="center"/>
            <w:vMerge w:val="continue"/>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Theme="minorEastAsia" w:cstheme="minorBidi"/>
                <w:color w:val="auto"/>
                <w:sz w:val="20"/>
                <w:szCs w:val="24"/>
                <w:lang w:val="en-US" w:eastAsia="zh-CN" w:bidi="ar-SA"/>
              </w:rPr>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1 家企业5个测点，表层土</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PH值、有机污染物(镉、汞、砷、铅、铬、铜、镍、锌等8种元素）</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《土壤环境质量建设用地土壤污染风险管控标准（试行）（GB36600-2018）》</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18</w:t>
            </w:r>
            <w:r/>
          </w:p>
        </w:tc>
        <w:tc>
          <w:tcPr>
            <w:shd w:val="clear" w:color="auto" w:fill="auto"/>
            <w:tcW w:w="353"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经开区</w:t>
            </w:r>
            <w:r/>
          </w:p>
        </w:tc>
        <w:tc>
          <w:tcPr>
            <w:shd w:val="clear" w:color="auto" w:fill="auto"/>
            <w:tcW w:w="582"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江苏华电铁塔制造有限公司</w:t>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1 家企业5个测点，表层土</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PH值、有机污染物(镉、汞、砷、铅、铬、铜、镍、锌等8种元素）</w:t>
            </w:r>
            <w:r/>
          </w:p>
        </w:tc>
        <w:tc>
          <w:tcPr>
            <w:shd w:val="clear" w:color="auto" w:fill="auto"/>
            <w:tcW w:w="1154"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《土壤环境质量建设用地土壤污染风险管控标准（试行）（GB36600-2018）》</w:t>
            </w:r>
            <w:r/>
          </w:p>
        </w:tc>
      </w:tr>
      <w:tr>
        <w:trPr>
          <w:jc w:val="center"/>
          <w:trHeight w:val="201"/>
        </w:trPr>
        <w:tc>
          <w:tcPr>
            <w:shd w:val="clear" w:color="auto" w:fill="auto"/>
            <w:tcW w:w="268" w:type="pct"/>
            <w:vAlign w:val="center"/>
            <w:vMerge w:val="restart"/>
            <w:textDirection w:val="lrTb"/>
            <w:noWrap w:val="false"/>
          </w:tcPr>
          <w:p>
            <w:pPr>
              <w:jc w:val="center"/>
              <w:rPr>
                <w:rFonts w:hint="default"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lang w:val="en-US" w:eastAsia="zh-CN"/>
              </w:rPr>
              <w:t xml:space="preserve">19</w:t>
            </w:r>
            <w:r/>
          </w:p>
        </w:tc>
        <w:tc>
          <w:tcPr>
            <w:shd w:val="clear" w:color="auto" w:fill="auto"/>
            <w:tcW w:w="353" w:type="pct"/>
            <w:vAlign w:val="center"/>
            <w:vMerge w:val="restart"/>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泉山区</w:t>
            </w:r>
            <w:r/>
          </w:p>
        </w:tc>
        <w:tc>
          <w:tcPr>
            <w:shd w:val="clear" w:color="auto" w:fill="auto"/>
            <w:tcW w:w="582" w:type="pct"/>
            <w:vAlign w:val="center"/>
            <w:vMerge w:val="restart"/>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江苏尚品大成纸业科技有限公司</w:t>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DW001</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色度、悬浮物、五日生化需氧量、化学需氧量、总氮、氨氮、总磷、流量、含废水在线比对监测</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排污许可证中《排水协议规定的浓度限值》</w:t>
            </w:r>
            <w:r/>
          </w:p>
        </w:tc>
      </w:tr>
      <w:tr>
        <w:trPr>
          <w:jc w:val="center"/>
          <w:trHeight w:val="201"/>
        </w:trPr>
        <w:tc>
          <w:tcPr>
            <w:shd w:val="clear" w:color="auto" w:fill="auto"/>
            <w:tcW w:w="268" w:type="pct"/>
            <w:vAlign w:val="center"/>
            <w:vMerge w:val="continue"/>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r>
            <w:r/>
          </w:p>
        </w:tc>
        <w:tc>
          <w:tcPr>
            <w:shd w:val="clear" w:color="auto" w:fill="auto"/>
            <w:tcW w:w="353" w:type="pct"/>
            <w:vAlign w:val="center"/>
            <w:vMerge w:val="continue"/>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r>
            <w:r/>
          </w:p>
        </w:tc>
        <w:tc>
          <w:tcPr>
            <w:shd w:val="clear" w:color="auto" w:fill="auto"/>
            <w:tcW w:w="582" w:type="pct"/>
            <w:vAlign w:val="center"/>
            <w:vMerge w:val="continue"/>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自备井</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一次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PH值、色度、高</w:t>
            </w:r>
            <w:r>
              <w:rPr>
                <w:rFonts w:hint="eastAsia" w:ascii="宋体" w:hAnsi="宋体" w:eastAsia="宋体" w:cs="Times New Roman"/>
                <w:color w:val="auto"/>
                <w:sz w:val="20"/>
                <w:szCs w:val="24"/>
                <w:lang w:eastAsia="zh-CN"/>
              </w:rPr>
              <w:t xml:space="preserve">锰</w:t>
            </w:r>
            <w:r>
              <w:rPr>
                <w:rFonts w:hint="eastAsia" w:ascii="宋体" w:hAnsi="宋体" w:eastAsia="宋体" w:cs="Times New Roman"/>
                <w:color w:val="auto"/>
                <w:sz w:val="20"/>
                <w:szCs w:val="24"/>
              </w:rPr>
              <w:t xml:space="preserve">酸盐指数、溶解性总固体、硝酸盐、亚硝酸盐、氯化物、硫酸盐、氨氮、总磷</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《地下水质量标准》（GB/T 14848-2017）</w:t>
            </w:r>
            <w:r/>
          </w:p>
        </w:tc>
      </w:tr>
      <w:tr>
        <w:trPr>
          <w:jc w:val="center"/>
          <w:trHeight w:val="201"/>
        </w:trPr>
        <w:tc>
          <w:tcPr>
            <w:shd w:val="clear" w:color="auto" w:fill="auto"/>
            <w:tcW w:w="268" w:type="pct"/>
            <w:vAlign w:val="center"/>
            <w:vMerge w:val="continue"/>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r>
            <w:r/>
          </w:p>
        </w:tc>
        <w:tc>
          <w:tcPr>
            <w:shd w:val="clear" w:color="auto" w:fill="auto"/>
            <w:tcW w:w="353" w:type="pct"/>
            <w:vAlign w:val="center"/>
            <w:vMerge w:val="continue"/>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r>
            <w:r/>
          </w:p>
        </w:tc>
        <w:tc>
          <w:tcPr>
            <w:shd w:val="clear" w:color="auto" w:fill="auto"/>
            <w:tcW w:w="582" w:type="pct"/>
            <w:vAlign w:val="center"/>
            <w:vMerge w:val="continue"/>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1 家企业5个测点，表层土</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PH值、重金属（镉、汞、砷、铅、铬、铜、镍、锌等8种元素）</w:t>
            </w:r>
            <w:r/>
          </w:p>
        </w:tc>
        <w:tc>
          <w:tcPr>
            <w:shd w:val="clear" w:color="auto" w:fill="auto"/>
            <w:tcW w:w="1154" w:type="pct"/>
            <w:vAlign w:val="center"/>
            <w:textDirection w:val="lrTb"/>
            <w:noWrap w:val="false"/>
          </w:tcPr>
          <w:p>
            <w:pPr>
              <w:jc w:val="center"/>
              <w:rPr>
                <w:rFonts w:hint="eastAsia" w:ascii="宋体" w:hAnsi="宋体" w:eastAsia="宋体" w:cs="Times New Roman"/>
                <w:color w:val="auto"/>
                <w:sz w:val="20"/>
                <w:szCs w:val="24"/>
              </w:rPr>
            </w:pPr>
            <w:r>
              <w:rPr>
                <w:rFonts w:hint="eastAsia" w:ascii="宋体" w:hAnsi="宋体" w:eastAsia="宋体" w:cs="Times New Roman"/>
                <w:color w:val="auto"/>
                <w:sz w:val="20"/>
                <w:szCs w:val="24"/>
              </w:rPr>
              <w:t xml:space="preserve">《土壤环境质量建设用</w:t>
            </w:r>
            <w:r/>
          </w:p>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地土壤污染风险管控标准（试行）（GB36600-2018）》</w:t>
            </w:r>
            <w:r/>
          </w:p>
        </w:tc>
      </w:tr>
      <w:tr>
        <w:trPr>
          <w:jc w:val="center"/>
          <w:trHeight w:val="201"/>
        </w:trPr>
        <w:tc>
          <w:tcPr>
            <w:shd w:val="clear" w:color="auto" w:fill="auto"/>
            <w:tcW w:w="268" w:type="pct"/>
            <w:vAlign w:val="center"/>
            <w:textDirection w:val="lrTb"/>
            <w:noWrap w:val="false"/>
          </w:tcPr>
          <w:p>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rPr>
              <w:t xml:space="preserve">20</w:t>
            </w:r>
            <w:r/>
          </w:p>
        </w:tc>
        <w:tc>
          <w:tcPr>
            <w:shd w:val="clear" w:color="auto" w:fill="auto"/>
            <w:tcW w:w="353"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鼓楼区</w:t>
            </w:r>
            <w:r/>
          </w:p>
        </w:tc>
        <w:tc>
          <w:tcPr>
            <w:shd w:val="clear" w:color="auto" w:fill="auto"/>
            <w:tcW w:w="582"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徐州建邦环境水务有限公司</w:t>
            </w:r>
            <w:r/>
          </w:p>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(丁万河污水处理厂)</w:t>
            </w:r>
            <w:r/>
          </w:p>
        </w:tc>
        <w:tc>
          <w:tcPr>
            <w:shd w:val="clear" w:color="auto" w:fill="auto"/>
            <w:tcW w:w="829"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DW001</w:t>
            </w:r>
            <w:r/>
          </w:p>
        </w:tc>
        <w:tc>
          <w:tcPr>
            <w:shd w:val="clear" w:color="auto" w:fill="auto"/>
            <w:tcW w:w="268"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两次</w:t>
            </w:r>
            <w:r/>
          </w:p>
        </w:tc>
        <w:tc>
          <w:tcPr>
            <w:shd w:val="clear" w:color="auto" w:fill="auto"/>
            <w:tcW w:w="154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PH值、悬浮物、化学需氧量、氨氮、总磷、总氮、生化需氧量、砷、石油类、动植物油、阴离子表面活性剂、汞、总镉、铅、六价铬、总铬、色度、粪大肠菌群含废水在线比对监测</w:t>
            </w:r>
            <w:r/>
          </w:p>
        </w:tc>
        <w:tc>
          <w:tcPr>
            <w:shd w:val="clear" w:color="auto" w:fill="auto"/>
            <w:tcW w:w="1154" w:type="pct"/>
            <w:vAlign w:val="center"/>
            <w:textDirection w:val="lrTb"/>
            <w:noWrap w:val="false"/>
          </w:tcPr>
          <w:p>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城镇污水处理厂污染物排放标准GB 18918-2002</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21</w:t>
            </w:r>
            <w:r/>
          </w:p>
        </w:tc>
        <w:tc>
          <w:tcPr>
            <w:shd w:val="clear" w:color="auto" w:fill="auto"/>
            <w:tcW w:w="353"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云龙区</w:t>
            </w:r>
            <w:r/>
          </w:p>
        </w:tc>
        <w:tc>
          <w:tcPr>
            <w:shd w:val="clear" w:color="auto" w:fill="auto"/>
            <w:tcW w:w="582"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徐州大众水务运营有限公司（三八河污水处理厂）</w:t>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DW001</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PH值、悬浮物、化学需氧量、氨氮、总磷、总氮、生化需氧量、总砷、石油类、动植物油、阴离子表面活性剂、总汞、总镉、总铅、六价铬、总铬、色度、粪大肠菌群、烷基汞含废水在线比对监测</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城镇污水处理厂污染物排放标准GB 18918-2002</w:t>
            </w:r>
            <w:r/>
          </w:p>
        </w:tc>
      </w:tr>
      <w:tr>
        <w:trPr>
          <w:jc w:val="center"/>
          <w:trHeight w:val="1699"/>
        </w:trPr>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22</w:t>
            </w:r>
            <w:r/>
          </w:p>
        </w:tc>
        <w:tc>
          <w:tcPr>
            <w:shd w:val="clear" w:color="auto" w:fill="auto"/>
            <w:tcW w:w="353"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云龙区</w:t>
            </w:r>
            <w:r/>
          </w:p>
        </w:tc>
        <w:tc>
          <w:tcPr>
            <w:shd w:val="clear" w:color="auto" w:fill="auto"/>
            <w:tcW w:w="582"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徐州建邦环境水务有限公司(新城区污水处理厂)</w:t>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DW001</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PH值、悬浮物、化学需氧量、氨氮、总磷、总氮、生化需氧量、总砷、石油类、动植物油、阴离子表面活性剂、总汞、总镉、总铅、六价铬、总铬、色度、粪大肠菌群、烷基汞含废水在线比对监测</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城镇污水处理厂污染物排放标准GB 18918-2002</w:t>
            </w:r>
            <w:r/>
          </w:p>
        </w:tc>
      </w:tr>
      <w:tr>
        <w:trPr>
          <w:jc w:val="center"/>
          <w:trHeight w:val="201"/>
        </w:trPr>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23</w:t>
            </w:r>
            <w:r/>
          </w:p>
        </w:tc>
        <w:tc>
          <w:tcPr>
            <w:shd w:val="clear" w:color="auto" w:fill="auto"/>
            <w:tcW w:w="353"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云龙区</w:t>
            </w:r>
            <w:r/>
          </w:p>
        </w:tc>
        <w:tc>
          <w:tcPr>
            <w:shd w:val="clear" w:color="auto" w:fill="auto"/>
            <w:tcW w:w="582"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徐州新水环境科技有限公司（三八河三期）</w:t>
            </w:r>
            <w:r/>
          </w:p>
        </w:tc>
        <w:tc>
          <w:tcPr>
            <w:shd w:val="clear" w:color="auto" w:fill="auto"/>
            <w:tcW w:w="829"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DW001</w:t>
            </w:r>
            <w:r/>
          </w:p>
        </w:tc>
        <w:tc>
          <w:tcPr>
            <w:shd w:val="clear" w:color="auto" w:fill="auto"/>
            <w:tcW w:w="268"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两次</w:t>
            </w:r>
            <w:r/>
          </w:p>
        </w:tc>
        <w:tc>
          <w:tcPr>
            <w:shd w:val="clear" w:color="auto" w:fill="auto"/>
            <w:tcW w:w="154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PH值、悬浮物、化学需氧量、氨氮、总磷、总氮、生化需氧量、总砷、石油类、动植物油、阴离子表面活性剂、总汞、总镉、总铅、六价铬、总铬、色度、粪大肠菌群、烷基汞含废水在线比对监测</w:t>
            </w:r>
            <w:r/>
          </w:p>
        </w:tc>
        <w:tc>
          <w:tcPr>
            <w:shd w:val="clear" w:color="auto" w:fill="auto"/>
            <w:tcW w:w="1154" w:type="pct"/>
            <w:vAlign w:val="center"/>
            <w:textDirection w:val="lrTb"/>
            <w:noWrap w:val="false"/>
          </w:tcPr>
          <w:p>
            <w:pPr>
              <w:jc w:val="center"/>
              <w:rPr>
                <w:rFonts w:hint="eastAsia" w:ascii="宋体" w:hAnsi="宋体" w:eastAsiaTheme="minorEastAsia" w:cstheme="minorBidi"/>
                <w:color w:val="auto"/>
                <w:sz w:val="20"/>
                <w:szCs w:val="24"/>
                <w:lang w:val="en-US" w:eastAsia="zh-CN" w:bidi="ar-SA"/>
              </w:rPr>
            </w:pPr>
            <w:r>
              <w:rPr>
                <w:rFonts w:hint="eastAsia" w:ascii="宋体" w:hAnsi="宋体" w:eastAsia="宋体" w:cs="Times New Roman"/>
                <w:color w:val="auto"/>
                <w:sz w:val="20"/>
                <w:szCs w:val="24"/>
              </w:rPr>
              <w:t xml:space="preserve">城镇污水处理厂污染物排放标准GB 18918-2002</w:t>
            </w:r>
            <w:r/>
          </w:p>
        </w:tc>
      </w:tr>
    </w:tbl>
    <w:p>
      <w:pPr>
        <w:ind w:firstLine="480"/>
        <w:spacing w:line="400" w:lineRule="atLeast"/>
        <w:rPr>
          <w:rFonts w:hint="eastAsia" w:ascii="宋体" w:hAnsi="宋体" w:eastAsia="宋体" w:cs="宋体"/>
          <w:color w:val="auto"/>
          <w:sz w:val="24"/>
        </w:rPr>
      </w:pPr>
      <w:r>
        <w:rPr>
          <w:rFonts w:hint="eastAsia" w:ascii="宋体" w:hAnsi="宋体" w:eastAsia="宋体" w:cs="宋体"/>
          <w:color w:val="auto"/>
          <w:sz w:val="24"/>
        </w:rPr>
        <w:t xml:space="preserve">所有监测因子除“二噁英”外，不得分包。</w:t>
      </w:r>
      <w:r/>
    </w:p>
    <w:p>
      <w:pPr>
        <w:keepLines w:val="0"/>
        <w:keepNext w:val="0"/>
        <w:pageBreakBefore w:val="0"/>
        <w:spacing w:line="50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w:t>
      </w:r>
      <w:r>
        <w:rPr>
          <w:rFonts w:hint="eastAsia" w:ascii="宋体" w:hAnsi="宋体" w:eastAsia="宋体" w:cs="宋体"/>
          <w:b/>
          <w:bCs/>
          <w:color w:val="auto"/>
          <w:spacing w:val="5"/>
          <w:sz w:val="28"/>
          <w:szCs w:val="28"/>
        </w:rPr>
        <w:t xml:space="preserve">质量要求</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(1)承担本项目的环境检测机构，严格按照《污水监测技术规范》(HJ 91.1-2019)、《固定源废气监测技术规范》(HJ/T397-2007)、《固定污染源监测质量控制和质量保证技术规范》(HJ/T373-2007)、《土壤环境监测技术规范》(HJ/T166-2004)等要求，对污染源</w:t>
      </w:r>
      <w:r>
        <w:rPr>
          <w:rFonts w:hint="eastAsia" w:ascii="宋体" w:hAnsi="宋体" w:eastAsia="宋体" w:cs="宋体"/>
          <w:color w:val="auto"/>
          <w:sz w:val="24"/>
          <w:lang w:val="en-US" w:eastAsia="zh-CN"/>
        </w:rPr>
        <w:t xml:space="preserve">监</w:t>
      </w:r>
      <w:r>
        <w:rPr>
          <w:rFonts w:hint="eastAsia" w:ascii="宋体" w:hAnsi="宋体" w:eastAsia="宋体" w:cs="宋体"/>
          <w:color w:val="auto"/>
          <w:sz w:val="24"/>
        </w:rPr>
        <w:t xml:space="preserve">测的全过程进行质量控制和质量保证。</w:t>
      </w:r>
      <w:r/>
    </w:p>
    <w:p>
      <w:pPr>
        <w:ind w:right="0"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 检测机构在现场采样、检测过程中严格按照《江苏省生态环境监测条例》有关规定执行，要核查记录现场工况，发现不具备检测条件的，要记录原因并及时向生态环境部门报告。</w:t>
      </w:r>
      <w:r/>
    </w:p>
    <w:p>
      <w:pPr>
        <w:ind w:right="0" w:firstLine="480"/>
        <w:keepLines w:val="0"/>
        <w:keepNext w:val="0"/>
        <w:pageBreakBefore w:val="0"/>
        <w:spacing w:line="5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 徐州市环境监测中心委托县(区)环境监测站对本项目的质控情况实施监督检查。</w:t>
      </w:r>
      <w:r/>
    </w:p>
    <w:p>
      <w:pPr>
        <w:ind w:firstLine="0"/>
        <w:jc w:val="both"/>
        <w:keepLines w:val="0"/>
        <w:keepNext w:val="0"/>
        <w:pageBreakBefore w:val="0"/>
        <w:spacing w:after="0" w:line="500" w:lineRule="exact"/>
        <w:widowControl w:val="off"/>
        <w:rPr>
          <w:rFonts w:hint="eastAsia" w:ascii="宋体" w:hAnsi="宋体" w:eastAsia="宋体" w:cs="宋体"/>
          <w:b/>
          <w:bCs/>
          <w:color w:val="auto"/>
          <w:spacing w:val="9"/>
          <w:sz w:val="28"/>
          <w:szCs w:val="28"/>
          <w:lang w:val="en-US" w:eastAsia="zh-CN" w:bidi="ar-SA"/>
        </w:rPr>
      </w:pPr>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b/>
          <w:bCs/>
          <w:color w:val="auto"/>
          <w:spacing w:val="9"/>
          <w:sz w:val="28"/>
          <w:szCs w:val="28"/>
          <w:lang w:val="en-US" w:eastAsia="zh-CN" w:bidi="ar-SA"/>
        </w:rPr>
        <w:t xml:space="preserve">服务期限</w:t>
      </w:r>
      <w:r/>
    </w:p>
    <w:p>
      <w:pPr>
        <w:ind w:right="0" w:firstLine="480"/>
        <w:keepLines w:val="0"/>
        <w:keepNext w:val="0"/>
        <w:pageBreakBefore w:val="0"/>
        <w:spacing w:line="500" w:lineRule="exact"/>
        <w:widowControl w:val="off"/>
        <w:rPr>
          <w:rFonts w:hint="eastAsia" w:ascii="宋体" w:hAnsi="宋体" w:eastAsia="宋体" w:cs="宋体"/>
          <w:b/>
          <w:sz w:val="28"/>
          <w:szCs w:val="28"/>
          <w:lang w:val="en-US" w:eastAsia="zh-CN"/>
        </w:rPr>
      </w:pPr>
      <w:r>
        <w:rPr>
          <w:rFonts w:hint="eastAsia" w:ascii="宋体" w:hAnsi="宋体" w:eastAsia="宋体" w:cs="宋体"/>
          <w:color w:val="auto"/>
          <w:sz w:val="24"/>
          <w:lang w:val="en-US" w:eastAsia="zh-CN"/>
        </w:rPr>
        <w:t xml:space="preserve">自合同签订之日起一年</w:t>
      </w:r>
      <w:r>
        <w:rPr>
          <w:rFonts w:hint="eastAsia" w:ascii="宋体" w:hAnsi="宋体" w:eastAsia="宋体" w:cs="宋体"/>
          <w:color w:val="auto"/>
          <w:sz w:val="24"/>
          <w:lang w:eastAsia="zh-CN"/>
        </w:rPr>
        <w:t xml:space="preserve">。</w:t>
      </w:r>
      <w:r/>
    </w:p>
    <w:p>
      <w:pPr>
        <w:keepLines w:val="0"/>
        <w:keepNext w:val="0"/>
        <w:pageBreakBefore w:val="0"/>
        <w:spacing w:line="500" w:lineRule="exact"/>
        <w:widowControl w:val="off"/>
        <w:rPr>
          <w:rFonts w:hint="eastAsia" w:ascii="宋体" w:hAnsi="宋体" w:eastAsia="宋体" w:cs="宋体"/>
          <w:b/>
          <w:sz w:val="28"/>
          <w:szCs w:val="28"/>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w:t>
      </w:r>
      <w:r>
        <w:rPr>
          <w:rFonts w:hint="eastAsia" w:ascii="宋体" w:hAnsi="宋体" w:eastAsia="宋体" w:cs="宋体"/>
          <w:b/>
          <w:sz w:val="28"/>
          <w:szCs w:val="28"/>
        </w:rPr>
        <w:t xml:space="preserve">其他要求</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4"/>
        </w:rPr>
        <w:t xml:space="preserve">见招标文件第五章《拟签订的合同文本》。</w:t>
      </w:r>
      <w:r/>
    </w:p>
    <w:p>
      <w:pPr>
        <w:pStyle w:val="1025"/>
        <w:keepLines/>
        <w:keepNext/>
        <w:pageBreakBefore w:val="0"/>
        <w:spacing w:line="240" w:lineRule="auto"/>
        <w:widowControl w:val="off"/>
        <w:rPr>
          <w:rFonts w:hint="eastAsia" w:ascii="宋体" w:hAnsi="宋体" w:eastAsia="宋体" w:cs="宋体"/>
          <w:color w:val="auto"/>
          <w:highlight w:val="none"/>
        </w:rPr>
      </w:pPr>
      <w:r/>
      <w:bookmarkStart w:id="16" w:name="_Toc523404701"/>
      <w:r/>
      <w:bookmarkStart w:id="17" w:name="_Toc522790136"/>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第七章 投标文件相关格式</w:t>
      </w:r>
      <w:bookmarkEnd w:id="16"/>
      <w:r/>
      <w:bookmarkEnd w:id="17"/>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一、投标函格式</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永明项目管理有限公司</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JSZC-320300-YMXM-G2025-0015</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1.投标人唯一投标报价见《开标一览表》。</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2.投标人将按招标文件的规定履行合同责任和义务。</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4.投标有效期为开标之日后90天。</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6.投标人同意在授予合同后，按照有关规定支付公证费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right="29"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永明项目管理有限公司</w:t>
      </w:r>
      <w:r>
        <w:rPr>
          <w:rFonts w:hint="eastAsia" w:ascii="宋体" w:hAnsi="宋体" w:eastAsia="宋体" w:cs="宋体"/>
          <w:color w:val="auto"/>
          <w:sz w:val="24"/>
          <w:szCs w:val="24"/>
          <w:highlight w:val="none"/>
        </w:rPr>
        <w:t xml:space="preserve">有权将我单位本项目的《开标一览表》予以公示，公示的方式由</w:t>
      </w:r>
      <w:r>
        <w:rPr>
          <w:rFonts w:hint="eastAsia" w:ascii="宋体" w:hAnsi="宋体" w:cs="宋体"/>
          <w:color w:val="auto"/>
          <w:sz w:val="24"/>
          <w:szCs w:val="24"/>
          <w:highlight w:val="none"/>
          <w:lang w:eastAsia="zh-CN"/>
        </w:rPr>
        <w:t xml:space="preserve">永明项目管理有限公司</w:t>
      </w:r>
      <w:r>
        <w:rPr>
          <w:rFonts w:hint="eastAsia" w:ascii="宋体" w:hAnsi="宋体" w:eastAsia="宋体" w:cs="宋体"/>
          <w:color w:val="auto"/>
          <w:sz w:val="24"/>
          <w:szCs w:val="24"/>
          <w:highlight w:val="none"/>
        </w:rPr>
        <w:t xml:space="preserve">确定。</w:t>
      </w:r>
      <w:r/>
    </w:p>
    <w:p>
      <w:pPr>
        <w:ind w:right="29"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9.与本投标有关的一切正式往来信函请寄：</w:t>
      </w:r>
      <w:r/>
    </w:p>
    <w:p>
      <w:pPr>
        <w:ind w:firstLine="11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11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11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 </w:t>
      </w:r>
      <w:r/>
    </w:p>
    <w:p>
      <w:pPr>
        <w:ind w:firstLine="11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36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45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480" w:lineRule="exact"/>
        <w:rPr>
          <w:rFonts w:hint="eastAsia" w:ascii="宋体" w:hAnsi="宋体" w:eastAsia="宋体" w:cs="宋体"/>
          <w:color w:val="auto"/>
          <w:sz w:val="32"/>
          <w:szCs w:val="32"/>
          <w:highlight w:val="yellow"/>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30"/>
          <w:szCs w:val="30"/>
          <w:highlight w:val="none"/>
        </w:rPr>
        <w:t xml:space="preserve">二、开标一览表格式</w:t>
      </w:r>
      <w:r/>
    </w:p>
    <w:p>
      <w:pPr>
        <w:spacing w:line="4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spacing w:line="52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徐州市部分市级监测事权环境质量监测服务</w:t>
      </w:r>
      <w:r>
        <w:rPr>
          <w:rFonts w:hint="eastAsia" w:ascii="宋体" w:hAnsi="宋体" w:eastAsia="宋体" w:cs="宋体"/>
          <w:color w:val="auto"/>
          <w:sz w:val="28"/>
          <w:szCs w:val="28"/>
          <w:highlight w:val="none"/>
        </w:rPr>
        <w:t xml:space="preserve"> </w:t>
      </w:r>
      <w:r/>
    </w:p>
    <w:p>
      <w:pPr>
        <w:ind w:firstLine="560"/>
        <w:spacing w:line="52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JSZC-320300-YMXM-G2025-0015</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（此处上传政府采购客户端工具输入报价自动生成的开标一览表，加盖电子签章）</w:t>
      </w:r>
      <w:r/>
    </w:p>
    <w:p>
      <w:pPr>
        <w:ind w:firstLine="560"/>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94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9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30"/>
          <w:szCs w:val="30"/>
          <w:highlight w:val="none"/>
        </w:rPr>
        <w:br w:type="page" w:clear="all"/>
      </w:r>
      <w:r>
        <w:rPr>
          <w:rFonts w:hint="eastAsia" w:ascii="宋体" w:hAnsi="宋体" w:cs="宋体"/>
          <w:color w:val="auto"/>
          <w:sz w:val="30"/>
          <w:szCs w:val="30"/>
          <w:highlight w:val="none"/>
          <w:lang w:val="en-US" w:eastAsia="zh-CN"/>
        </w:rPr>
        <w:t xml:space="preserve">三</w:t>
      </w:r>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rPr>
        <w:t xml:space="preserve">分项价格表</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徐州市部分市级监测事权环境质量监测服务</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JSZC-320300-YMXM-G2025-0015</w:t>
      </w:r>
      <w:r>
        <w:rPr>
          <w:rFonts w:hint="eastAsia" w:ascii="宋体" w:hAnsi="宋体" w:cs="宋体"/>
          <w:color w:val="auto"/>
          <w:sz w:val="28"/>
          <w:szCs w:val="28"/>
          <w:highlight w:val="none"/>
        </w:rPr>
        <w:t xml:space="preserve"> </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分</w:t>
      </w:r>
      <w:r>
        <w:rPr>
          <w:rFonts w:hint="eastAsia" w:ascii="宋体" w:hAnsi="宋体" w:cs="宋体"/>
          <w:color w:val="auto"/>
          <w:sz w:val="28"/>
          <w:szCs w:val="28"/>
          <w:highlight w:val="none"/>
        </w:rPr>
        <w:t xml:space="preserve">项价格表主要由单价、总价组成，按照项目要求格式自制，报价应包括项目涉及的一切税、费等</w:t>
      </w:r>
      <w:r>
        <w:rPr>
          <w:rFonts w:hint="eastAsia" w:ascii="宋体" w:hAnsi="宋体" w:cs="宋体"/>
          <w:color w:val="auto"/>
          <w:sz w:val="28"/>
          <w:szCs w:val="28"/>
          <w:highlight w:val="none"/>
          <w:lang w:eastAsia="zh-CN"/>
        </w:rPr>
        <w:t xml:space="preserve">。）</w:t>
      </w:r>
      <w:r/>
    </w:p>
    <w:p>
      <w:pPr>
        <w:ind w:firstLine="3120"/>
        <w:jc w:val="both"/>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3120"/>
        <w:jc w:val="both"/>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ind w:firstLine="3120"/>
        <w:jc w:val="both"/>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日期：   年  月  日</w:t>
      </w:r>
      <w:r/>
    </w:p>
    <w:p>
      <w:pPr>
        <w:jc w:val="both"/>
        <w:keepLines w:val="0"/>
        <w:keepNext w:val="0"/>
        <w:pageBreakBefore w:val="0"/>
        <w:spacing w:after="0" w:line="360" w:lineRule="auto"/>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注：</w:t>
      </w:r>
      <w:r>
        <w:rPr>
          <w:rFonts w:hint="eastAsia" w:ascii="宋体" w:hAnsi="宋体" w:cs="宋体"/>
          <w:b/>
          <w:bCs/>
          <w:color w:val="auto"/>
          <w:sz w:val="28"/>
          <w:szCs w:val="28"/>
          <w:highlight w:val="none"/>
        </w:rPr>
        <w:t xml:space="preserve">1.如果不提供详细分项报价将视为没有实质性响应招标文件</w:t>
      </w:r>
      <w:r>
        <w:rPr>
          <w:rFonts w:hint="eastAsia" w:ascii="宋体" w:hAnsi="宋体" w:cs="宋体"/>
          <w:b/>
          <w:bCs/>
          <w:color w:val="auto"/>
          <w:sz w:val="28"/>
          <w:szCs w:val="28"/>
          <w:highlight w:val="none"/>
          <w:lang w:eastAsia="zh-CN"/>
        </w:rPr>
        <w:t xml:space="preserve">。</w:t>
      </w:r>
      <w:r/>
    </w:p>
    <w:p>
      <w:pPr>
        <w:ind w:firstLine="560"/>
        <w:spacing w:line="52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2.本表的总价合计与《开标一览表》中的“总价”以及按单价汇总金额应保持一致</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并不超过招标文件设置的预算金额。</w:t>
      </w:r>
      <w:r/>
    </w:p>
    <w:p>
      <w:pPr>
        <w:ind w:firstLine="56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3.投标人对以上数据的真实性负责</w:t>
      </w:r>
      <w:r>
        <w:rPr>
          <w:rFonts w:hint="eastAsia" w:ascii="宋体" w:hAnsi="宋体" w:cs="宋体"/>
          <w:color w:val="auto"/>
          <w:sz w:val="28"/>
          <w:szCs w:val="28"/>
          <w:highlight w:val="none"/>
          <w:lang w:eastAsia="zh-CN"/>
        </w:rPr>
        <w:t xml:space="preserve">。</w:t>
      </w:r>
      <w:r/>
    </w:p>
    <w:p>
      <w:pPr>
        <w:ind w:firstLine="560"/>
        <w:spacing w:line="520" w:lineRule="exact"/>
        <w:rPr>
          <w:rFonts w:hint="eastAsia" w:ascii="宋体" w:hAnsi="宋体" w:cs="宋体"/>
          <w:i/>
          <w:iCs/>
          <w:color w:val="auto"/>
          <w:sz w:val="28"/>
          <w:szCs w:val="28"/>
          <w:highlight w:val="none"/>
          <w:u w:val="single"/>
          <w:lang w:eastAsia="zh-CN"/>
        </w:rPr>
      </w:pPr>
      <w:r>
        <w:rPr>
          <w:rFonts w:hint="eastAsia" w:ascii="宋体" w:hAnsi="宋体" w:cs="宋体"/>
          <w:i/>
          <w:iCs/>
          <w:color w:val="auto"/>
          <w:sz w:val="28"/>
          <w:szCs w:val="28"/>
          <w:highlight w:val="none"/>
          <w:u w:val="single"/>
          <w:lang w:eastAsia="zh-CN"/>
        </w:rPr>
        <w:t xml:space="preserve">永明项目管理有限公司</w:t>
      </w:r>
      <w:r>
        <w:rPr>
          <w:rFonts w:hint="eastAsia" w:ascii="宋体" w:hAnsi="宋体" w:cs="宋体"/>
          <w:i/>
          <w:iCs/>
          <w:color w:val="auto"/>
          <w:sz w:val="28"/>
          <w:szCs w:val="28"/>
          <w:highlight w:val="none"/>
          <w:u w:val="single"/>
        </w:rPr>
        <w:t xml:space="preserve">有权将以上内容进行公示</w:t>
      </w:r>
      <w:r>
        <w:rPr>
          <w:rFonts w:hint="eastAsia" w:ascii="宋体" w:hAnsi="宋体" w:cs="宋体"/>
          <w:i/>
          <w:iCs/>
          <w:color w:val="auto"/>
          <w:sz w:val="28"/>
          <w:szCs w:val="28"/>
          <w:highlight w:val="none"/>
          <w:u w:val="single"/>
          <w:lang w:eastAsia="zh-CN"/>
        </w:rPr>
        <w:t xml:space="preserve">。</w:t>
      </w:r>
      <w:r/>
    </w:p>
    <w:p>
      <w:pPr>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480" w:lineRule="exact"/>
        <w:rPr>
          <w:rFonts w:hint="eastAsia" w:ascii="宋体" w:hAnsi="宋体" w:eastAsia="宋体" w:cs="宋体"/>
          <w:color w:val="auto"/>
          <w:sz w:val="24"/>
          <w:highlight w:val="none"/>
        </w:rPr>
      </w:pPr>
      <w:r>
        <w:rPr>
          <w:rFonts w:hint="eastAsia" w:ascii="宋体" w:hAnsi="宋体" w:cs="宋体"/>
          <w:b/>
          <w:bCs/>
          <w:color w:val="auto"/>
          <w:sz w:val="30"/>
          <w:szCs w:val="30"/>
          <w:highlight w:val="none"/>
          <w:lang w:val="en-US" w:eastAsia="zh-CN"/>
        </w:rPr>
        <w:t xml:space="preserve">四</w:t>
      </w:r>
      <w:r>
        <w:rPr>
          <w:rFonts w:hint="eastAsia" w:ascii="宋体" w:hAnsi="宋体" w:eastAsia="宋体" w:cs="宋体"/>
          <w:b/>
          <w:bCs/>
          <w:color w:val="auto"/>
          <w:sz w:val="30"/>
          <w:szCs w:val="30"/>
          <w:highlight w:val="none"/>
        </w:rPr>
        <w:t xml:space="preserve">、偏离表格式</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徐州市部分市级监测事权环境质量监测服务</w:t>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JSZC-320300-YMXM-G2025-0015</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tbl>
      <w:tblPr>
        <w:tblStyle w:val="782"/>
        <w:tblW w:w="4998"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8"/>
        <w:gridCol w:w="1396"/>
        <w:gridCol w:w="1534"/>
        <w:gridCol w:w="1193"/>
        <w:gridCol w:w="2388"/>
      </w:tblGrid>
      <w:tr>
        <w:trPr>
          <w:jc w:val="center"/>
          <w:trHeight w:val="794"/>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rPr>
                <w:rFonts w:hint="eastAsia" w:ascii="宋体" w:hAnsi="宋体" w:eastAsia="宋体" w:cs="宋体"/>
                <w:caps/>
                <w:color w:val="auto"/>
                <w:sz w:val="28"/>
                <w:szCs w:val="28"/>
                <w:highlight w:val="none"/>
              </w:rPr>
            </w:pPr>
            <w:r>
              <w:rPr>
                <w:rFonts w:hint="eastAsia" w:ascii="宋体" w:hAnsi="宋体" w:eastAsia="宋体" w:cs="宋体"/>
                <w:color w:val="auto"/>
                <w:sz w:val="28"/>
                <w:szCs w:val="28"/>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jc w:val="center"/>
              <w:rPr>
                <w:rFonts w:hint="eastAsia" w:ascii="宋体" w:hAnsi="宋体" w:eastAsia="宋体" w:cs="宋体"/>
                <w:caps/>
                <w:color w:val="auto"/>
                <w:sz w:val="28"/>
                <w:szCs w:val="28"/>
                <w:highlight w:val="none"/>
              </w:rPr>
            </w:pPr>
            <w:r>
              <w:rPr>
                <w:rFonts w:hint="eastAsia" w:ascii="宋体" w:hAnsi="宋体" w:eastAsia="宋体" w:cs="宋体"/>
                <w:color w:val="auto"/>
                <w:sz w:val="28"/>
                <w:szCs w:val="28"/>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401" w:type="pct"/>
            <w:vAlign w:val="center"/>
            <w:textDirection w:val="lrTb"/>
            <w:noWrap w:val="false"/>
          </w:tcPr>
          <w:p>
            <w:pPr>
              <w:jc w:val="center"/>
              <w:rPr>
                <w:rFonts w:hint="eastAsia" w:ascii="宋体" w:hAnsi="宋体" w:eastAsia="宋体" w:cs="宋体"/>
                <w:caps/>
                <w:color w:val="auto"/>
                <w:sz w:val="28"/>
                <w:szCs w:val="28"/>
                <w:highlight w:val="none"/>
              </w:rPr>
            </w:pPr>
            <w:r>
              <w:rPr>
                <w:rFonts w:hint="eastAsia" w:ascii="宋体" w:hAnsi="宋体" w:eastAsia="宋体" w:cs="宋体"/>
                <w:caps/>
                <w:color w:val="auto"/>
                <w:sz w:val="28"/>
                <w:szCs w:val="28"/>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1"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1"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1"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1"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1"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1" w:type="pct"/>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ind w:firstLine="562"/>
        <w:spacing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w:t>
      </w:r>
      <w:r>
        <w:rPr>
          <w:rFonts w:hint="eastAsia" w:ascii="宋体" w:hAnsi="宋体" w:eastAsia="宋体" w:cs="宋体"/>
          <w:color w:val="auto"/>
          <w:sz w:val="28"/>
          <w:szCs w:val="28"/>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auto"/>
          <w:sz w:val="28"/>
          <w:szCs w:val="28"/>
          <w:highlight w:val="none"/>
          <w:lang w:eastAsia="zh-CN"/>
        </w:rPr>
        <w:t xml:space="preserve">视为</w:t>
      </w:r>
      <w:r>
        <w:rPr>
          <w:rFonts w:hint="eastAsia" w:ascii="宋体" w:hAnsi="宋体" w:eastAsia="宋体" w:cs="宋体"/>
          <w:color w:val="auto"/>
          <w:sz w:val="28"/>
          <w:szCs w:val="28"/>
          <w:highlight w:val="none"/>
        </w:rPr>
        <w:t xml:space="preserve">投标人接受招标文件的要求。</w:t>
      </w:r>
      <w:r/>
    </w:p>
    <w:p>
      <w:pPr>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60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br w:type="page" w:clear="all"/>
      </w:r>
      <w:r/>
    </w:p>
    <w:p>
      <w:pPr>
        <w:jc w:val="center"/>
        <w:spacing w:line="4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、法定代表人授权书格式</w:t>
      </w:r>
      <w:r/>
    </w:p>
    <w:p>
      <w:pP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法定代表人（负责人）：               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性别：男（女）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  岁                 民族：   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徐州市部分市级监测事权环境质量监测服务</w:t>
      </w:r>
      <w:r>
        <w:rPr>
          <w:rFonts w:hint="eastAsia" w:ascii="宋体" w:hAnsi="宋体" w:eastAsia="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JSZC-320300-YMXM-G2025-0015</w:t>
      </w:r>
      <w:r>
        <w:rPr>
          <w:rFonts w:hint="eastAsia" w:ascii="宋体" w:hAnsi="宋体" w:eastAsia="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特此授权委托。</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委托人（盖章）：               受托人（签字）：</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 </w:t>
      </w:r>
      <w:r/>
    </w:p>
    <w:p>
      <w:pPr>
        <w:ind w:right="600" w:firstLine="6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受托人身份证复印件附后</w:t>
      </w:r>
      <w:r>
        <w:rPr>
          <w:rFonts w:hint="eastAsia" w:ascii="宋体" w:hAnsi="宋体" w:eastAsia="宋体" w:cs="宋体"/>
          <w:color w:val="auto"/>
          <w:sz w:val="28"/>
          <w:szCs w:val="28"/>
          <w:highlight w:val="none"/>
          <w:lang w:eastAsia="zh-CN"/>
        </w:rPr>
        <w:t xml:space="preserve">）</w:t>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before="100" w:beforeAutospacing="1" w:after="100" w:afterAutospacing="1" w:line="48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jc w:val="center"/>
        <w:spacing w:before="100" w:beforeAutospacing="1" w:after="100" w:afterAutospacing="1" w:line="480" w:lineRule="exact"/>
        <w:widowControl/>
        <w:rPr>
          <w:rFonts w:hint="eastAsia" w:ascii="宋体" w:hAnsi="宋体" w:eastAsia="宋体" w:cs="宋体"/>
          <w:color w:val="auto"/>
          <w:sz w:val="30"/>
          <w:szCs w:val="30"/>
          <w:highlight w:val="none"/>
        </w:rPr>
      </w:pP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、中小企业声明函格式</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rPr>
        <w:t xml:space="preserve">                                </w:t>
      </w:r>
      <w:r/>
    </w:p>
    <w:p>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eastAsia="zh-CN"/>
        </w:rPr>
        <w:t xml:space="preserve">徐州市部分市级监测事权环境质量监测服务</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科学研究和技术服务业</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；承建（承接）企业为</w:t>
      </w:r>
      <w:bookmarkStart w:id="18" w:name="_GoBack"/>
      <w:r/>
      <w:bookmarkEnd w:id="18"/>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万元，属于（□中型企业、□小型企业、□微型企业，请勾选！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企业名称（供应商名称）（电子签章）： </w:t>
      </w:r>
      <w:r/>
    </w:p>
    <w:p>
      <w:pPr>
        <w:ind w:right="48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  年  月  日</w:t>
      </w:r>
      <w:r/>
    </w:p>
    <w:p>
      <w:pPr>
        <w:spacing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注：本项目采购的服务属于</w:t>
      </w:r>
      <w:r>
        <w:rPr>
          <w:rFonts w:hint="eastAsia" w:ascii="宋体" w:hAnsi="宋体" w:cs="宋体"/>
          <w:b/>
          <w:bCs/>
          <w:color w:val="auto"/>
          <w:sz w:val="24"/>
          <w:szCs w:val="24"/>
          <w:highlight w:val="none"/>
          <w:lang w:val="en-US" w:eastAsia="zh-CN"/>
        </w:rPr>
        <w:t xml:space="preserve">科学研究和技术服务业</w:t>
      </w:r>
      <w:r>
        <w:rPr>
          <w:rFonts w:hint="eastAsia" w:ascii="宋体" w:hAnsi="宋体" w:eastAsia="宋体" w:cs="宋体"/>
          <w:b/>
          <w:bCs/>
          <w:color w:val="auto"/>
          <w:sz w:val="24"/>
          <w:szCs w:val="24"/>
          <w:highlight w:val="none"/>
        </w:rPr>
        <w:t xml:space="preserve">。</w:t>
      </w:r>
      <w:r/>
    </w:p>
    <w:p>
      <w:pPr>
        <w:pStyle w:val="872"/>
        <w:ind w:left="0"/>
        <w:jc w:val="left"/>
        <w:spacing w:after="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72"/>
        <w:ind w:left="0" w:firstLine="482"/>
        <w:jc w:val="left"/>
        <w:keepLines w:val="0"/>
        <w:keepNext w:val="0"/>
        <w:pageBreakBefore w:val="0"/>
        <w:spacing w:after="0"/>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pStyle w:val="872"/>
        <w:ind w:left="0" w:firstLine="482"/>
        <w:keepLines w:val="0"/>
        <w:keepNext w:val="0"/>
        <w:pageBreakBefore w:val="0"/>
        <w:spacing w:after="0"/>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72"/>
        <w:ind w:left="0" w:firstLine="482"/>
        <w:keepLines w:val="0"/>
        <w:keepNext w:val="0"/>
        <w:pageBreakBefore w:val="0"/>
        <w:spacing w:after="0"/>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2、从业人员、营业收入、资产总额填报供应商上一年度数据，无上一年度数据的新成立企业可不填报。</w:t>
      </w:r>
      <w:r/>
    </w:p>
    <w:p>
      <w:pPr>
        <w:pStyle w:val="872"/>
        <w:ind w:left="0" w:firstLine="482"/>
        <w:keepLines w:val="0"/>
        <w:keepNext w:val="0"/>
        <w:pageBreakBefore w:val="0"/>
        <w:spacing w:after="0"/>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3、中标人为小型、微型企业的，采购人或者其委托的采购代理机构有权随中标、成交结果同时公告其《中小企业声明函》，接受社会监督。</w:t>
      </w:r>
      <w:r/>
    </w:p>
    <w:p>
      <w:pPr>
        <w:pStyle w:val="872"/>
        <w:ind w:left="0" w:firstLine="482"/>
        <w:keepLines w:val="0"/>
        <w:keepNext w:val="0"/>
        <w:pageBreakBefore w:val="0"/>
        <w:spacing w:after="0"/>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4、执行江苏省财政厅关于进一步加大政府采购支持中小企业力度的通知（苏财购〔2022〕45号）的规定。</w:t>
      </w:r>
      <w:r/>
    </w:p>
    <w:p>
      <w:pPr>
        <w:pStyle w:val="872"/>
        <w:ind w:left="0" w:firstLine="482"/>
        <w:keepLines w:val="0"/>
        <w:keepNext w:val="0"/>
        <w:pageBreakBefore w:val="0"/>
        <w:spacing w:after="0"/>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5、投标人提供的《中小企业声明函》与事实不符的，依照《政府采购法》第七十七条第一款的规定追究法律责任。</w:t>
      </w:r>
      <w:r/>
    </w:p>
    <w:p>
      <w:pPr>
        <w:ind w:firstLine="482"/>
        <w:jc w:val="left"/>
        <w:keepLines w:val="0"/>
        <w:keepNext w:val="0"/>
        <w:pageBreakBefore w:val="0"/>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0"/>
        <w:rPr>
          <w:rFonts w:hint="eastAsia" w:ascii="宋体" w:hAnsi="宋体" w:eastAsia="宋体" w:cs="宋体"/>
          <w:color w:val="auto"/>
          <w:sz w:val="30"/>
          <w:szCs w:val="30"/>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313940" cy="4332605"/>
                <wp:effectExtent l="0" t="0" r="10160" b="10795"/>
                <wp:docPr id="3" name="图片 13"/>
                <wp:cNvGraphicFramePr/>
                <a:graphic xmlns:a="http://schemas.openxmlformats.org/drawingml/2006/main">
                  <a:graphicData uri="http://schemas.openxmlformats.org/drawingml/2006/picture">
                    <pic:pic xmlns:pic="http://schemas.openxmlformats.org/drawingml/2006/picture">
                      <pic:nvPicPr>
                        <pic:cNvPr id="4" name="图片 13"/>
                        <pic:cNvPicPr/>
                        <pic:nvPr/>
                      </pic:nvPicPr>
                      <pic:blipFill>
                        <a:blip r:embed="rId15"/>
                        <a:stretch/>
                      </pic:blipFill>
                      <pic:spPr bwMode="auto">
                        <a:xfrm>
                          <a:off x="0" y="0"/>
                          <a:ext cx="2313940" cy="4332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2.2pt;height:341.1pt;mso-wrap-distance-left:0.0pt;mso-wrap-distance-top:0.0pt;mso-wrap-distance-right:0.0pt;mso-wrap-distance-bottom:0.0pt;" stroked="f">
                <v:path textboxrect="0,0,0,0"/>
                <v:imagedata r:id="rId15" o:title=""/>
              </v:shape>
            </w:pict>
          </mc:Fallback>
        </mc:AlternateContent>
      </w:r>
      <w:r/>
    </w:p>
    <w:p>
      <w:pPr>
        <w:pStyle w:val="11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exact"/>
        <w:rPr>
          <w:rFonts w:hint="eastAsia" w:ascii="宋体" w:hAnsi="宋体" w:eastAsia="宋体" w:cs="宋体"/>
          <w:b/>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cs="宋体"/>
          <w:b/>
          <w:bCs/>
          <w:color w:val="auto"/>
          <w:sz w:val="30"/>
          <w:szCs w:val="30"/>
          <w:highlight w:val="none"/>
          <w:lang w:val="en-US" w:eastAsia="zh-CN"/>
        </w:rPr>
        <w:t xml:space="preserve">七</w:t>
      </w:r>
      <w:r>
        <w:rPr>
          <w:rFonts w:hint="eastAsia" w:ascii="宋体" w:hAnsi="宋体" w:eastAsia="宋体" w:cs="宋体"/>
          <w:b/>
          <w:bCs/>
          <w:color w:val="auto"/>
          <w:sz w:val="30"/>
          <w:szCs w:val="30"/>
          <w:highlight w:val="none"/>
        </w:rPr>
        <w:t xml:space="preserve">、残疾人福利性单位声明函格式</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徐州市部分市级监测事权环境质量监测服务</w:t>
      </w:r>
      <w:r>
        <w:rPr>
          <w:rFonts w:hint="eastAsia" w:ascii="宋体" w:hAnsi="宋体" w:eastAsia="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JSZC-320300-YMXM-G2025-0015</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jc w:val="center"/>
        <w:spacing w:line="0" w:lineRule="atLeas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（注：如</w:t>
      </w:r>
      <w:r>
        <w:rPr>
          <w:rFonts w:hint="eastAsia" w:ascii="宋体" w:hAnsi="宋体" w:eastAsia="宋体" w:cs="宋体"/>
          <w:b/>
          <w:bCs/>
          <w:color w:val="auto"/>
          <w:sz w:val="28"/>
          <w:szCs w:val="28"/>
          <w:highlight w:val="none"/>
          <w:lang w:eastAsia="zh-CN"/>
        </w:rPr>
        <w:t xml:space="preserve">投标人</w:t>
      </w:r>
      <w:r>
        <w:rPr>
          <w:rFonts w:hint="eastAsia" w:ascii="宋体" w:hAnsi="宋体" w:eastAsia="宋体" w:cs="宋体"/>
          <w:b/>
          <w:bCs/>
          <w:color w:val="auto"/>
          <w:sz w:val="28"/>
          <w:szCs w:val="28"/>
          <w:highlight w:val="none"/>
        </w:rPr>
        <w:t xml:space="preserve">不属于残疾人福利性单位，不需提供此声明函）</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25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480" w:lineRule="exact"/>
        <w:rPr>
          <w:rFonts w:hint="eastAsia" w:ascii="宋体" w:hAnsi="宋体" w:eastAsia="宋体" w:cs="宋体"/>
          <w:b/>
          <w:bCs/>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
          <w:bCs/>
          <w:color w:val="auto"/>
          <w:sz w:val="30"/>
          <w:szCs w:val="30"/>
          <w:highlight w:val="none"/>
          <w:lang w:val="en-US" w:eastAsia="zh-CN"/>
        </w:rPr>
        <w:t xml:space="preserve">八</w:t>
      </w:r>
      <w:r>
        <w:rPr>
          <w:rFonts w:hint="eastAsia" w:ascii="宋体" w:hAnsi="宋体" w:eastAsia="宋体" w:cs="宋体"/>
          <w:b/>
          <w:bCs/>
          <w:color w:val="auto"/>
          <w:sz w:val="30"/>
          <w:szCs w:val="30"/>
          <w:highlight w:val="none"/>
        </w:rPr>
        <w:t xml:space="preserve">. 具备履行合同所必需的设备和专业技术能力的书面声明</w:t>
      </w:r>
      <w:r/>
    </w:p>
    <w:p>
      <w:pPr>
        <w:jc w:val="center"/>
        <w:spacing w:line="4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（附证明材料的扫描件）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24"/>
        <w:spacing w:line="480" w:lineRule="exact"/>
        <w:rPr>
          <w:rFonts w:hint="eastAsia" w:ascii="宋体" w:hAnsi="宋体" w:cs="宋体"/>
          <w:color w:val="auto"/>
          <w:spacing w:val="6"/>
          <w:sz w:val="28"/>
          <w:szCs w:val="28"/>
          <w:highlight w:val="none"/>
          <w:lang w:eastAsia="zh-CN"/>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徐州市部分市级监测事权环境质量监测服务</w:t>
      </w:r>
      <w:r/>
    </w:p>
    <w:p>
      <w:pPr>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JSZC-320300-YMXM-G2025-0015</w:t>
      </w:r>
      <w:r>
        <w:rPr>
          <w:rFonts w:hint="eastAsia" w:ascii="宋体" w:hAnsi="宋体" w:cs="宋体"/>
          <w:color w:val="auto"/>
          <w:spacing w:val="6"/>
          <w:sz w:val="28"/>
          <w:szCs w:val="28"/>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rPr>
        <w:t xml:space="preserve">投标人郑重声明：投标人具备履行合同（项目名称：</w:t>
      </w:r>
      <w:r>
        <w:rPr>
          <w:rFonts w:hint="eastAsia" w:ascii="宋体" w:hAnsi="宋体" w:eastAsia="宋体" w:cs="宋体"/>
          <w:color w:val="auto"/>
          <w:spacing w:val="6"/>
          <w:sz w:val="28"/>
          <w:szCs w:val="28"/>
          <w:highlight w:val="none"/>
          <w:u w:val="single"/>
          <w:lang w:eastAsia="zh-CN"/>
        </w:rPr>
        <w:t xml:space="preserve">徐州市部分市级监测事权环境质量监测服务</w:t>
      </w:r>
      <w:r>
        <w:rPr>
          <w:rFonts w:hint="eastAsia" w:ascii="宋体" w:hAnsi="宋体" w:eastAsia="宋体" w:cs="宋体"/>
          <w:color w:val="auto"/>
          <w:spacing w:val="6"/>
          <w:sz w:val="28"/>
          <w:szCs w:val="28"/>
          <w:highlight w:val="none"/>
        </w:rPr>
        <w:t xml:space="preserve">，项目编号：</w:t>
      </w:r>
      <w:r>
        <w:rPr>
          <w:rFonts w:hint="eastAsia" w:ascii="宋体" w:hAnsi="宋体" w:cs="宋体"/>
          <w:color w:val="auto"/>
          <w:spacing w:val="6"/>
          <w:sz w:val="28"/>
          <w:szCs w:val="28"/>
          <w:highlight w:val="none"/>
          <w:u w:val="single"/>
          <w:lang w:eastAsia="zh-CN"/>
        </w:rPr>
        <w:t xml:space="preserve">JSZC-320300-YMXM-G2025-0015</w:t>
      </w:r>
      <w:r>
        <w:rPr>
          <w:rFonts w:hint="eastAsia" w:ascii="宋体" w:hAnsi="宋体" w:eastAsia="宋体" w:cs="宋体"/>
          <w:color w:val="auto"/>
          <w:spacing w:val="6"/>
          <w:sz w:val="28"/>
          <w:szCs w:val="28"/>
          <w:highlight w:val="none"/>
        </w:rPr>
        <w:t xml:space="preserve"> ）所必需的设备和专业技术能力</w:t>
      </w:r>
      <w:r>
        <w:rPr>
          <w:rFonts w:hint="eastAsia" w:ascii="宋体" w:hAnsi="宋体" w:eastAsia="宋体" w:cs="宋体"/>
          <w:color w:val="auto"/>
          <w:spacing w:val="6"/>
          <w:sz w:val="28"/>
          <w:szCs w:val="28"/>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rPr>
        <w:t xml:space="preserve">特此声明</w:t>
      </w:r>
      <w:r>
        <w:rPr>
          <w:rFonts w:hint="eastAsia" w:ascii="宋体" w:hAnsi="宋体" w:eastAsia="宋体" w:cs="宋体"/>
          <w:color w:val="auto"/>
          <w:spacing w:val="6"/>
          <w:sz w:val="28"/>
          <w:szCs w:val="28"/>
          <w:highlight w:val="none"/>
          <w:lang w:eastAsia="zh-CN"/>
        </w:rPr>
        <w:t xml:space="preserve">。</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rPr>
        <w:t xml:space="preserve">投标人对上述声明的真实性负责</w:t>
      </w:r>
      <w:r>
        <w:rPr>
          <w:rFonts w:hint="eastAsia" w:ascii="宋体" w:hAnsi="宋体" w:eastAsia="宋体" w:cs="宋体"/>
          <w:color w:val="auto"/>
          <w:spacing w:val="6"/>
          <w:sz w:val="28"/>
          <w:szCs w:val="28"/>
          <w:highlight w:val="none"/>
          <w:lang w:eastAsia="zh-CN"/>
        </w:rPr>
        <w:t xml:space="preserve">。</w:t>
      </w:r>
      <w:r>
        <w:rPr>
          <w:rFonts w:hint="eastAsia" w:ascii="宋体" w:hAnsi="宋体" w:eastAsia="宋体" w:cs="宋体"/>
          <w:color w:val="auto"/>
          <w:spacing w:val="6"/>
          <w:sz w:val="28"/>
          <w:szCs w:val="28"/>
          <w:highlight w:val="none"/>
        </w:rPr>
        <w:t xml:space="preserve">如有虚假，将依法承担相应责任</w:t>
      </w:r>
      <w:r>
        <w:rPr>
          <w:rFonts w:hint="eastAsia" w:ascii="宋体" w:hAnsi="宋体" w:eastAsia="宋体" w:cs="宋体"/>
          <w:color w:val="auto"/>
          <w:spacing w:val="6"/>
          <w:sz w:val="28"/>
          <w:szCs w:val="28"/>
          <w:highlight w:val="none"/>
          <w:lang w:eastAsia="zh-CN"/>
        </w:rPr>
        <w:t xml:space="preserve">。</w:t>
      </w:r>
      <w:r/>
    </w:p>
    <w:p>
      <w:pP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00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1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ind w:firstLine="31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480" w:lineRule="exact"/>
        <w:rPr>
          <w:rFonts w:hint="eastAsia" w:ascii="宋体" w:hAnsi="宋体" w:eastAsia="宋体" w:cs="宋体"/>
          <w:color w:val="auto"/>
          <w:sz w:val="30"/>
          <w:szCs w:val="30"/>
          <w:highlight w:val="none"/>
        </w:rPr>
      </w:pPr>
      <w:r>
        <w:rPr>
          <w:rFonts w:hint="eastAsia" w:ascii="宋体" w:hAnsi="宋体" w:cs="宋体"/>
          <w:b/>
          <w:bCs/>
          <w:color w:val="auto"/>
          <w:sz w:val="30"/>
          <w:szCs w:val="30"/>
          <w:highlight w:val="none"/>
          <w:lang w:val="en-US" w:eastAsia="zh-CN"/>
        </w:rPr>
        <w:t xml:space="preserve">九</w:t>
      </w:r>
      <w:r>
        <w:rPr>
          <w:rFonts w:hint="eastAsia" w:ascii="宋体" w:hAnsi="宋体" w:eastAsia="宋体" w:cs="宋体"/>
          <w:b/>
          <w:bCs/>
          <w:color w:val="auto"/>
          <w:sz w:val="30"/>
          <w:szCs w:val="30"/>
          <w:highlight w:val="none"/>
        </w:rPr>
        <w:t xml:space="preserve">、投标人参加政府采购活动前3年内在经营活动中没有重大违法记录的书面声明格式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lang w:eastAsia="zh-CN"/>
        </w:rPr>
        <w:t xml:space="preserve">徐州市部分市级监测事权环境质量监测服务</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JSZC-320300-YMXM-G2025-0015</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03"/>
        <w:ind w:firstLine="600"/>
        <w:spacing w:before="0" w:beforeAutospacing="0" w:after="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firstLine="562"/>
        <w:jc w:val="left"/>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480" w:lineRule="exact"/>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rPr>
        <w:t xml:space="preserve">、预付款保函支付条款模板</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rPr>
          <w:rFonts w:hint="eastAsia" w:ascii="宋体" w:hAnsi="宋体" w:eastAsia="宋体" w:cs="宋体"/>
          <w:b/>
          <w:color w:val="auto"/>
          <w:sz w:val="28"/>
          <w:szCs w:val="28"/>
          <w:highlight w:val="none"/>
          <w:lang w:eastAsia="zh-CN"/>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苏财购〔2020〕52号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要求。</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jc w:val="center"/>
        <w:spacing w:line="48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lang w:val="en-US" w:eastAsia="zh-CN"/>
        </w:rPr>
        <w:t xml:space="preserve">十一</w:t>
      </w:r>
      <w:r>
        <w:rPr>
          <w:rFonts w:hint="eastAsia" w:ascii="宋体" w:hAnsi="宋体" w:eastAsia="宋体" w:cs="宋体"/>
          <w:b/>
          <w:bCs/>
          <w:color w:val="auto"/>
          <w:sz w:val="30"/>
          <w:szCs w:val="30"/>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48"/>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48"/>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我单位在参加</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项目（项目编号：</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号）政府采购活动，我单位承诺在签订合同时，明确表示无需预付款。</w:t>
      </w:r>
      <w:r/>
    </w:p>
    <w:p>
      <w:pPr>
        <w:ind w:firstLine="600"/>
        <w:spacing w:line="480" w:lineRule="exact"/>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lang w:eastAsia="zh-CN"/>
        </w:rPr>
        <w:t xml:space="preserve">注：如中标人</w:t>
      </w:r>
      <w:r>
        <w:rPr>
          <w:rFonts w:hint="eastAsia" w:ascii="宋体" w:hAnsi="宋体" w:eastAsia="宋体" w:cs="宋体"/>
          <w:b/>
          <w:bCs w:val="0"/>
          <w:color w:val="auto"/>
          <w:sz w:val="28"/>
          <w:szCs w:val="28"/>
          <w:highlight w:val="none"/>
        </w:rPr>
        <w:t xml:space="preserve">无需预付款</w:t>
      </w:r>
      <w:r>
        <w:rPr>
          <w:rFonts w:hint="eastAsia" w:ascii="宋体" w:hAnsi="宋体" w:eastAsia="宋体" w:cs="宋体"/>
          <w:b/>
          <w:bCs w:val="0"/>
          <w:color w:val="auto"/>
          <w:sz w:val="28"/>
          <w:szCs w:val="28"/>
          <w:highlight w:val="none"/>
          <w:lang w:eastAsia="zh-CN"/>
        </w:rPr>
        <w:t xml:space="preserve">，此函在中标后签订合同前，以书面形式提交给采购人。</w:t>
      </w:r>
      <w:r/>
    </w:p>
    <w:p>
      <w:pPr>
        <w:ind w:firstLine="548"/>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ind w:firstLine="4371"/>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盖章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Light">
    <w:panose1 w:val="020F0302020204030204"/>
  </w:font>
  <w:font w:name="Courier New">
    <w:panose1 w:val="02070309020205020404"/>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widowControl/>
      <w:rPr>
        <w:rStyle w:val="108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4"/>
                            <w:widowControl/>
                            <w:tabs>
                              <w:tab w:val="clear" w:pos="4153" w:leader="none"/>
                              <w:tab w:val="clear" w:pos="8306" w:leader="none"/>
                            </w:tabs>
                            <w:rPr>
                              <w:rStyle w:val="1081"/>
                              <w:sz w:val="18"/>
                              <w:szCs w:val="18"/>
                            </w:rPr>
                          </w:pPr>
                          <w:r>
                            <w:rPr>
                              <w:sz w:val="18"/>
                              <w:szCs w:val="18"/>
                            </w:rPr>
                          </w:r>
                          <w:r/>
                        </w:p>
                        <w:p>
                          <w:pPr>
                            <w:widowControl/>
                            <w:rPr>
                              <w:rStyle w:val="1081"/>
                            </w:rPr>
                          </w:pPr>
                          <w:r/>
                          <w:r/>
                        </w:p>
                        <w:p>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4"/>
                      <w:widowControl/>
                      <w:tabs>
                        <w:tab w:val="clear" w:pos="4153" w:leader="none"/>
                        <w:tab w:val="clear" w:pos="8306" w:leader="none"/>
                      </w:tabs>
                      <w:rPr>
                        <w:rStyle w:val="1081"/>
                        <w:sz w:val="18"/>
                        <w:szCs w:val="18"/>
                      </w:rPr>
                    </w:pPr>
                    <w:r>
                      <w:rPr>
                        <w:sz w:val="18"/>
                        <w:szCs w:val="18"/>
                      </w:rPr>
                    </w:r>
                    <w:r/>
                  </w:p>
                  <w:p>
                    <w:pPr>
                      <w:widowControl/>
                      <w:rPr>
                        <w:rStyle w:val="1081"/>
                      </w:rPr>
                    </w:p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45"/>
      </w:rPr>
      <w:framePr w:wrap="around" w:vAnchor="text" w:hAnchor="margin" w:xAlign="center" w:y="1"/>
    </w:pPr>
    <w:r>
      <w:fldChar w:fldCharType="begin"/>
    </w:r>
    <w:r>
      <w:rPr>
        <w:rStyle w:val="1045"/>
      </w:rPr>
      <w:instrText xml:space="preserve">PAGE  </w:instrText>
    </w:r>
    <w:r>
      <w:fldChar w:fldCharType="separate"/>
    </w:r>
    <w:r>
      <w:rPr>
        <w:rStyle w:val="1045"/>
      </w:rPr>
      <w:t xml:space="preserve">62</w:t>
    </w:r>
    <w:r>
      <w:fldChar w:fldCharType="end"/>
    </w:r>
    <w:r/>
  </w:p>
  <w:p>
    <w:pPr>
      <w:pStyle w:val="10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45"/>
      </w:rPr>
      <w:framePr w:wrap="around" w:vAnchor="text" w:hAnchor="margin" w:xAlign="center" w:y="1"/>
    </w:pPr>
    <w:r>
      <w:fldChar w:fldCharType="begin"/>
    </w:r>
    <w:r>
      <w:rPr>
        <w:rStyle w:val="1045"/>
      </w:rPr>
      <w:instrText xml:space="preserve">PAGE  </w:instrText>
    </w:r>
    <w:r>
      <w:fldChar w:fldCharType="end"/>
    </w:r>
    <w:r/>
  </w:p>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81"/>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6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link w:val="10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name w:val="Heading 1"/>
    <w:basedOn w:val="771"/>
    <w:next w:val="771"/>
    <w:link w:val="877"/>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71"/>
    <w:link w:val="878"/>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79"/>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80"/>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81"/>
    <w:uiPriority w:val="9"/>
    <w:unhideWhenUsed/>
    <w:qFormat/>
    <w:pPr>
      <w:keepLines/>
      <w:keepNext/>
      <w:spacing w:before="320" w:after="200"/>
      <w:outlineLvl w:val="4"/>
    </w:pPr>
    <w:rPr>
      <w:rFonts w:ascii="Arial" w:hAnsi="Arial" w:eastAsia="Arial" w:cs="Arial"/>
      <w:b/>
      <w:bCs/>
      <w:sz w:val="24"/>
    </w:rPr>
  </w:style>
  <w:style w:type="paragraph" w:styleId="777">
    <w:name w:val="Heading 6"/>
    <w:basedOn w:val="771"/>
    <w:next w:val="771"/>
    <w:link w:val="882"/>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84"/>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85"/>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1"/>
    <w:next w:val="771"/>
    <w:uiPriority w:val="39"/>
    <w:unhideWhenUsed/>
    <w:qFormat/>
    <w:pPr>
      <w:ind w:left="1701"/>
      <w:spacing w:after="57"/>
    </w:pPr>
  </w:style>
  <w:style w:type="paragraph" w:styleId="784">
    <w:name w:val="Normal Indent"/>
    <w:basedOn w:val="771"/>
    <w:uiPriority w:val="0"/>
    <w:qFormat/>
    <w:pPr>
      <w:ind w:firstLine="420"/>
    </w:pPr>
  </w:style>
  <w:style w:type="paragraph" w:styleId="785">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annotation text"/>
    <w:basedOn w:val="771"/>
    <w:uiPriority w:val="99"/>
    <w:semiHidden/>
    <w:unhideWhenUsed/>
    <w:qFormat/>
    <w:pPr>
      <w:jc w:val="left"/>
    </w:pPr>
  </w:style>
  <w:style w:type="paragraph" w:styleId="787">
    <w:name w:val="Body Text"/>
    <w:basedOn w:val="771"/>
    <w:uiPriority w:val="0"/>
    <w:qFormat/>
    <w:pPr>
      <w:spacing w:after="120"/>
    </w:pPr>
  </w:style>
  <w:style w:type="paragraph" w:styleId="788">
    <w:name w:val="Body Text Indent"/>
    <w:basedOn w:val="771"/>
    <w:next w:val="789"/>
    <w:uiPriority w:val="99"/>
    <w:qFormat/>
    <w:pPr>
      <w:ind w:left="420"/>
      <w:spacing w:after="120"/>
    </w:pPr>
  </w:style>
  <w:style w:type="paragraph" w:styleId="789">
    <w:name w:val="envelope return"/>
    <w:basedOn w:val="771"/>
    <w:uiPriority w:val="0"/>
    <w:qFormat/>
    <w:rPr>
      <w:rFonts w:ascii="Arial" w:hAnsi="Arial"/>
    </w:rPr>
  </w:style>
  <w:style w:type="paragraph" w:styleId="790">
    <w:name w:val="Block Text"/>
    <w:basedOn w:val="771"/>
    <w:uiPriority w:val="0"/>
    <w:qFormat/>
    <w:pPr>
      <w:ind w:left="567" w:right="454" w:firstLine="498"/>
    </w:pPr>
    <w:rPr>
      <w:rFonts w:ascii="仿宋_GB2312" w:eastAsia="仿宋_GB2312"/>
      <w:sz w:val="30"/>
    </w:rPr>
  </w:style>
  <w:style w:type="paragraph" w:styleId="791">
    <w:name w:val="index 4"/>
    <w:basedOn w:val="771"/>
    <w:next w:val="771"/>
    <w:uiPriority w:val="99"/>
    <w:unhideWhenUsed/>
    <w:qFormat/>
    <w:pPr>
      <w:ind w:left="600"/>
    </w:pPr>
    <w:rPr>
      <w:rFonts w:ascii="Calibri" w:hAnsi="Calibri"/>
      <w:szCs w:val="22"/>
    </w:rPr>
  </w:style>
  <w:style w:type="paragraph" w:styleId="792">
    <w:name w:val="toc 5"/>
    <w:basedOn w:val="771"/>
    <w:next w:val="771"/>
    <w:uiPriority w:val="39"/>
    <w:unhideWhenUsed/>
    <w:qFormat/>
    <w:pPr>
      <w:ind w:left="1134"/>
      <w:spacing w:after="57"/>
    </w:pPr>
  </w:style>
  <w:style w:type="paragraph" w:styleId="793">
    <w:name w:val="toc 3"/>
    <w:basedOn w:val="771"/>
    <w:next w:val="771"/>
    <w:uiPriority w:val="39"/>
    <w:unhideWhenUsed/>
    <w:qFormat/>
    <w:pPr>
      <w:ind w:left="567"/>
      <w:spacing w:after="57"/>
    </w:pPr>
  </w:style>
  <w:style w:type="paragraph" w:styleId="794">
    <w:name w:val="Plain Text"/>
    <w:basedOn w:val="771"/>
    <w:uiPriority w:val="0"/>
    <w:qFormat/>
    <w:rPr>
      <w:rFonts w:ascii="宋体" w:hAnsi="Courier New"/>
    </w:rPr>
  </w:style>
  <w:style w:type="paragraph" w:styleId="795">
    <w:name w:val="toc 8"/>
    <w:basedOn w:val="771"/>
    <w:next w:val="771"/>
    <w:uiPriority w:val="39"/>
    <w:unhideWhenUsed/>
    <w:qFormat/>
    <w:pPr>
      <w:ind w:left="1984"/>
      <w:spacing w:after="57"/>
    </w:pPr>
  </w:style>
  <w:style w:type="paragraph" w:styleId="796">
    <w:name w:val="Body Text Indent 2"/>
    <w:basedOn w:val="771"/>
    <w:uiPriority w:val="0"/>
    <w:qFormat/>
    <w:pPr>
      <w:ind w:firstLine="640"/>
      <w:jc w:val="left"/>
      <w:spacing w:line="590" w:lineRule="exact"/>
    </w:pPr>
    <w:rPr>
      <w:rFonts w:ascii="仿宋_GB2312" w:hAnsi="宋体" w:eastAsia="仿宋_GB2312"/>
      <w:sz w:val="32"/>
      <w:szCs w:val="28"/>
    </w:rPr>
  </w:style>
  <w:style w:type="paragraph" w:styleId="797">
    <w:name w:val="endnote text"/>
    <w:basedOn w:val="771"/>
    <w:link w:val="1023"/>
    <w:uiPriority w:val="99"/>
    <w:semiHidden/>
    <w:unhideWhenUsed/>
    <w:qFormat/>
    <w:rPr>
      <w:sz w:val="20"/>
    </w:rPr>
  </w:style>
  <w:style w:type="paragraph" w:styleId="798">
    <w:name w:val="Footer"/>
    <w:basedOn w:val="771"/>
    <w:link w:val="896"/>
    <w:uiPriority w:val="99"/>
    <w:unhideWhenUsed/>
    <w:qFormat/>
    <w:pPr>
      <w:tabs>
        <w:tab w:val="center" w:pos="7143" w:leader="none"/>
        <w:tab w:val="right" w:pos="14287" w:leader="none"/>
      </w:tabs>
    </w:pPr>
  </w:style>
  <w:style w:type="paragraph" w:styleId="799">
    <w:name w:val="Header"/>
    <w:basedOn w:val="771"/>
    <w:link w:val="894"/>
    <w:uiPriority w:val="99"/>
    <w:unhideWhenUsed/>
    <w:qFormat/>
    <w:pPr>
      <w:tabs>
        <w:tab w:val="center" w:pos="7143" w:leader="none"/>
        <w:tab w:val="right" w:pos="14287" w:leader="none"/>
      </w:tabs>
    </w:pPr>
  </w:style>
  <w:style w:type="paragraph" w:styleId="800">
    <w:name w:val="toc 1"/>
    <w:basedOn w:val="771"/>
    <w:next w:val="771"/>
    <w:uiPriority w:val="39"/>
    <w:unhideWhenUsed/>
    <w:qFormat/>
    <w:pPr>
      <w:spacing w:after="57"/>
    </w:pPr>
  </w:style>
  <w:style w:type="paragraph" w:styleId="801">
    <w:name w:val="toc 4"/>
    <w:basedOn w:val="771"/>
    <w:next w:val="771"/>
    <w:uiPriority w:val="39"/>
    <w:unhideWhenUsed/>
    <w:qFormat/>
    <w:pPr>
      <w:ind w:left="850"/>
      <w:spacing w:after="57"/>
    </w:pPr>
  </w:style>
  <w:style w:type="paragraph" w:styleId="802">
    <w:name w:val="Subtitle"/>
    <w:basedOn w:val="771"/>
    <w:next w:val="771"/>
    <w:link w:val="889"/>
    <w:uiPriority w:val="11"/>
    <w:qFormat/>
    <w:pPr>
      <w:spacing w:before="200" w:after="200"/>
    </w:pPr>
    <w:rPr>
      <w:sz w:val="24"/>
    </w:rPr>
  </w:style>
  <w:style w:type="paragraph" w:styleId="803">
    <w:name w:val="footnote text"/>
    <w:basedOn w:val="771"/>
    <w:link w:val="1022"/>
    <w:uiPriority w:val="99"/>
    <w:semiHidden/>
    <w:unhideWhenUsed/>
    <w:qFormat/>
    <w:pPr>
      <w:spacing w:after="40"/>
    </w:pPr>
    <w:rPr>
      <w:sz w:val="18"/>
    </w:rPr>
  </w:style>
  <w:style w:type="paragraph" w:styleId="804">
    <w:name w:val="toc 6"/>
    <w:basedOn w:val="771"/>
    <w:next w:val="771"/>
    <w:uiPriority w:val="39"/>
    <w:unhideWhenUsed/>
    <w:qFormat/>
    <w:pPr>
      <w:ind w:left="1417"/>
      <w:spacing w:after="57"/>
    </w:pPr>
  </w:style>
  <w:style w:type="paragraph" w:styleId="805">
    <w:name w:val="table of figures"/>
    <w:basedOn w:val="771"/>
    <w:next w:val="771"/>
    <w:uiPriority w:val="99"/>
    <w:unhideWhenUsed/>
    <w:qFormat/>
  </w:style>
  <w:style w:type="paragraph" w:styleId="806">
    <w:name w:val="toc 2"/>
    <w:basedOn w:val="771"/>
    <w:next w:val="771"/>
    <w:uiPriority w:val="39"/>
    <w:unhideWhenUsed/>
    <w:qFormat/>
    <w:pPr>
      <w:ind w:left="283"/>
      <w:spacing w:after="57"/>
    </w:pPr>
  </w:style>
  <w:style w:type="paragraph" w:styleId="807">
    <w:name w:val="toc 9"/>
    <w:basedOn w:val="771"/>
    <w:next w:val="771"/>
    <w:uiPriority w:val="39"/>
    <w:unhideWhenUsed/>
    <w:qFormat/>
    <w:pPr>
      <w:ind w:left="2268"/>
      <w:spacing w:after="57"/>
    </w:pPr>
  </w:style>
  <w:style w:type="paragraph" w:styleId="808">
    <w:name w:val="Normal (Web)"/>
    <w:basedOn w:val="771"/>
    <w:uiPriority w:val="0"/>
    <w:qFormat/>
    <w:pPr>
      <w:ind w:left="0" w:right="0"/>
      <w:jc w:val="left"/>
      <w:spacing w:before="0" w:beforeAutospacing="1" w:after="0" w:afterAutospacing="1"/>
    </w:pPr>
    <w:rPr>
      <w:sz w:val="24"/>
      <w:lang w:val="en-US" w:eastAsia="zh-CN" w:bidi="ar"/>
    </w:rPr>
  </w:style>
  <w:style w:type="paragraph" w:styleId="809">
    <w:name w:val="Title"/>
    <w:basedOn w:val="771"/>
    <w:next w:val="771"/>
    <w:link w:val="888"/>
    <w:uiPriority w:val="10"/>
    <w:qFormat/>
    <w:pPr>
      <w:contextualSpacing/>
      <w:spacing w:before="300" w:after="200"/>
    </w:pPr>
    <w:rPr>
      <w:sz w:val="48"/>
      <w:szCs w:val="48"/>
    </w:rPr>
  </w:style>
  <w:style w:type="paragraph" w:styleId="810">
    <w:name w:val="Body Text First Indent"/>
    <w:basedOn w:val="771"/>
    <w:next w:val="811"/>
    <w:uiPriority w:val="0"/>
    <w:qFormat/>
    <w:pPr>
      <w:ind w:firstLine="200"/>
      <w:spacing w:line="360" w:lineRule="auto"/>
    </w:pPr>
    <w:rPr>
      <w:rFonts w:ascii="仿宋_GB2312" w:eastAsia="仿宋_GB2312"/>
      <w:sz w:val="30"/>
      <w:szCs w:val="30"/>
    </w:rPr>
  </w:style>
  <w:style w:type="paragraph" w:styleId="811">
    <w:name w:val="Body Text First Indent 2"/>
    <w:basedOn w:val="788"/>
    <w:uiPriority w:val="99"/>
    <w:qFormat/>
    <w:pPr>
      <w:ind w:left="0" w:firstLine="420"/>
      <w:spacing w:after="0" w:line="360" w:lineRule="auto"/>
    </w:pPr>
    <w:rPr>
      <w:rFonts w:ascii="宋体" w:hAnsi="宋体"/>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annotation reference"/>
    <w:basedOn w:val="781"/>
    <w:uiPriority w:val="99"/>
    <w:semiHidden/>
    <w:unhideWhenUsed/>
    <w:qFormat/>
    <w:rPr>
      <w:sz w:val="21"/>
      <w:szCs w:val="21"/>
    </w:rPr>
  </w:style>
  <w:style w:type="character" w:styleId="816">
    <w:name w:val="footnote reference"/>
    <w:uiPriority w:val="99"/>
    <w:unhideWhenUsed/>
    <w:qFormat/>
    <w:rPr>
      <w:vertAlign w:val="superscript"/>
    </w:rPr>
  </w:style>
  <w:style w:type="paragraph" w:styleId="817" w:customStyle="1">
    <w:name w:val="文本块111"/>
    <w:basedOn w:val="771"/>
    <w:uiPriority w:val="99"/>
    <w:qFormat/>
    <w:pPr>
      <w:ind w:left="420" w:right="33"/>
      <w:jc w:val="left"/>
    </w:pPr>
    <w:rPr>
      <w:sz w:val="24"/>
      <w:szCs w:val="20"/>
    </w:rPr>
  </w:style>
  <w:style w:type="paragraph" w:styleId="818" w:customStyle="1">
    <w:name w:val="目录 11"/>
    <w:basedOn w:val="819"/>
    <w:next w:val="821"/>
    <w:uiPriority w:val="39"/>
    <w:qFormat/>
  </w:style>
  <w:style w:type="paragraph" w:styleId="819" w:customStyle="1">
    <w:name w:val="正文12"/>
    <w:next w:val="82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0" w:customStyle="1">
    <w:name w:val="文本块11"/>
    <w:basedOn w:val="819"/>
    <w:uiPriority w:val="6"/>
    <w:unhideWhenUsed/>
    <w:qFormat/>
    <w:pPr>
      <w:ind w:left="1440" w:right="1440"/>
      <w:spacing w:after="120"/>
    </w:pPr>
  </w:style>
  <w:style w:type="paragraph" w:styleId="821" w:customStyle="1">
    <w:name w:val="正文11"/>
    <w:next w:val="818"/>
    <w:uiPriority w:val="0"/>
    <w:qFormat/>
    <w:pPr>
      <w:jc w:val="both"/>
    </w:pPr>
    <w:rPr>
      <w:rFonts w:hint="default" w:ascii="Times New Roman" w:hAnsi="Times New Roman" w:eastAsia="宋体" w:cs="Times New Roman"/>
      <w:lang w:val="en-US" w:eastAsia="zh-CN" w:bidi="ar-SA"/>
    </w:rPr>
  </w:style>
  <w:style w:type="paragraph" w:styleId="822" w:customStyle="1">
    <w:name w:val="一级条标题"/>
    <w:basedOn w:val="823"/>
    <w:next w:val="7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3"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4" w:customStyle="1">
    <w:name w:val="正文1"/>
    <w:basedOn w:val="825"/>
    <w:next w:val="818"/>
    <w:uiPriority w:val="0"/>
    <w:qFormat/>
  </w:style>
  <w:style w:type="paragraph" w:styleId="825" w:customStyle="1">
    <w:name w:val="正文111"/>
    <w:next w:val="8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正文首行缩进1"/>
    <w:basedOn w:val="827"/>
    <w:next w:val="829"/>
    <w:link w:val="1079"/>
    <w:uiPriority w:val="0"/>
    <w:qFormat/>
    <w:pPr>
      <w:ind w:firstLine="420"/>
    </w:pPr>
    <w:rPr>
      <w:rFonts w:ascii="仿宋_GB2312" w:eastAsia="仿宋_GB2312"/>
      <w:sz w:val="30"/>
      <w:szCs w:val="30"/>
    </w:rPr>
  </w:style>
  <w:style w:type="paragraph" w:styleId="827" w:customStyle="1">
    <w:name w:val="正文文本11"/>
    <w:basedOn w:val="828"/>
    <w:next w:val="771"/>
    <w:uiPriority w:val="0"/>
    <w:qFormat/>
    <w:pPr>
      <w:spacing w:after="120"/>
    </w:pPr>
  </w:style>
  <w:style w:type="paragraph" w:styleId="828" w:customStyle="1">
    <w:name w:val="正文112"/>
    <w:next w:val="8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首行缩进 21"/>
    <w:basedOn w:val="830"/>
    <w:next w:val="825"/>
    <w:link w:val="1054"/>
    <w:uiPriority w:val="0"/>
    <w:qFormat/>
    <w:pPr>
      <w:ind w:firstLine="420"/>
    </w:pPr>
    <w:rPr>
      <w:rFonts w:ascii="Times New Roman" w:hAnsi="Times New Roman"/>
    </w:rPr>
  </w:style>
  <w:style w:type="paragraph" w:styleId="830" w:customStyle="1">
    <w:name w:val="正文文本缩进1"/>
    <w:basedOn w:val="771"/>
    <w:next w:val="831"/>
    <w:link w:val="1048"/>
    <w:uiPriority w:val="99"/>
    <w:qFormat/>
    <w:pPr>
      <w:ind w:left="420"/>
      <w:spacing w:after="120"/>
    </w:pPr>
    <w:rPr>
      <w:rFonts w:ascii="Calibri" w:hAnsi="Calibri"/>
    </w:rPr>
  </w:style>
  <w:style w:type="paragraph" w:styleId="831" w:customStyle="1">
    <w:name w:val="寄信人地址1"/>
    <w:basedOn w:val="821"/>
    <w:uiPriority w:val="0"/>
    <w:qFormat/>
    <w:rPr>
      <w:rFonts w:ascii="Arial" w:hAnsi="Arial"/>
    </w:rPr>
  </w:style>
  <w:style w:type="paragraph" w:styleId="832" w:customStyle="1">
    <w:name w:val="标题 211"/>
    <w:basedOn w:val="821"/>
    <w:next w:val="821"/>
    <w:uiPriority w:val="0"/>
    <w:qFormat/>
    <w:pPr>
      <w:keepLines/>
      <w:keepNext/>
      <w:spacing w:before="260" w:after="260" w:line="416" w:lineRule="auto"/>
      <w:outlineLvl w:val="1"/>
    </w:pPr>
    <w:rPr>
      <w:rFonts w:ascii="Calibri Light" w:hAnsi="Calibri Light"/>
      <w:bCs/>
      <w:sz w:val="32"/>
      <w:szCs w:val="32"/>
    </w:rPr>
  </w:style>
  <w:style w:type="character" w:styleId="833" w:customStyle="1">
    <w:name w:val="Heading 1 Char"/>
    <w:basedOn w:val="781"/>
    <w:uiPriority w:val="9"/>
    <w:qFormat/>
    <w:rPr>
      <w:rFonts w:ascii="Arial" w:hAnsi="Arial" w:eastAsia="Arial" w:cs="Arial"/>
      <w:sz w:val="40"/>
      <w:szCs w:val="40"/>
    </w:rPr>
  </w:style>
  <w:style w:type="character" w:styleId="834" w:customStyle="1">
    <w:name w:val="Heading 2 Char"/>
    <w:basedOn w:val="781"/>
    <w:uiPriority w:val="9"/>
    <w:qFormat/>
    <w:rPr>
      <w:rFonts w:ascii="Arial" w:hAnsi="Arial" w:eastAsia="Arial" w:cs="Arial"/>
      <w:sz w:val="34"/>
    </w:rPr>
  </w:style>
  <w:style w:type="character" w:styleId="835" w:customStyle="1">
    <w:name w:val="Heading 3 Char"/>
    <w:basedOn w:val="781"/>
    <w:uiPriority w:val="9"/>
    <w:qFormat/>
    <w:rPr>
      <w:rFonts w:ascii="Arial" w:hAnsi="Arial" w:eastAsia="Arial" w:cs="Arial"/>
      <w:sz w:val="30"/>
      <w:szCs w:val="30"/>
    </w:rPr>
  </w:style>
  <w:style w:type="character" w:styleId="836" w:customStyle="1">
    <w:name w:val="Heading 4 Char"/>
    <w:basedOn w:val="781"/>
    <w:uiPriority w:val="9"/>
    <w:qFormat/>
    <w:rPr>
      <w:rFonts w:ascii="Arial" w:hAnsi="Arial" w:eastAsia="Arial" w:cs="Arial"/>
      <w:b/>
      <w:bCs/>
      <w:sz w:val="26"/>
      <w:szCs w:val="26"/>
    </w:rPr>
  </w:style>
  <w:style w:type="character" w:styleId="837" w:customStyle="1">
    <w:name w:val="Heading 5 Char"/>
    <w:basedOn w:val="781"/>
    <w:uiPriority w:val="9"/>
    <w:qFormat/>
    <w:rPr>
      <w:rFonts w:ascii="Arial" w:hAnsi="Arial" w:eastAsia="Arial" w:cs="Arial"/>
      <w:b/>
      <w:bCs/>
      <w:sz w:val="24"/>
      <w:szCs w:val="24"/>
    </w:rPr>
  </w:style>
  <w:style w:type="character" w:styleId="838" w:customStyle="1">
    <w:name w:val="Heading 6 Char"/>
    <w:basedOn w:val="781"/>
    <w:uiPriority w:val="9"/>
    <w:qFormat/>
    <w:rPr>
      <w:rFonts w:ascii="Arial" w:hAnsi="Arial" w:eastAsia="Arial" w:cs="Arial"/>
      <w:b/>
      <w:bCs/>
      <w:sz w:val="22"/>
      <w:szCs w:val="22"/>
    </w:rPr>
  </w:style>
  <w:style w:type="character" w:styleId="839" w:customStyle="1">
    <w:name w:val="Heading 7 Char"/>
    <w:basedOn w:val="781"/>
    <w:uiPriority w:val="9"/>
    <w:qFormat/>
    <w:rPr>
      <w:rFonts w:ascii="Arial" w:hAnsi="Arial" w:eastAsia="Arial" w:cs="Arial"/>
      <w:b/>
      <w:bCs/>
      <w:i/>
      <w:iCs/>
      <w:sz w:val="22"/>
      <w:szCs w:val="22"/>
    </w:rPr>
  </w:style>
  <w:style w:type="character" w:styleId="840" w:customStyle="1">
    <w:name w:val="Heading 8 Char"/>
    <w:basedOn w:val="781"/>
    <w:uiPriority w:val="9"/>
    <w:qFormat/>
    <w:rPr>
      <w:rFonts w:ascii="Arial" w:hAnsi="Arial" w:eastAsia="Arial" w:cs="Arial"/>
      <w:i/>
      <w:iCs/>
      <w:sz w:val="22"/>
      <w:szCs w:val="22"/>
    </w:rPr>
  </w:style>
  <w:style w:type="character" w:styleId="841" w:customStyle="1">
    <w:name w:val="Heading 9 Char"/>
    <w:basedOn w:val="781"/>
    <w:uiPriority w:val="9"/>
    <w:qFormat/>
    <w:rPr>
      <w:rFonts w:ascii="Arial" w:hAnsi="Arial" w:eastAsia="Arial" w:cs="Arial"/>
      <w:i/>
      <w:iCs/>
      <w:sz w:val="21"/>
      <w:szCs w:val="21"/>
    </w:rPr>
  </w:style>
  <w:style w:type="character" w:styleId="842" w:customStyle="1">
    <w:name w:val="Title Char"/>
    <w:basedOn w:val="781"/>
    <w:uiPriority w:val="10"/>
    <w:qFormat/>
    <w:rPr>
      <w:sz w:val="48"/>
      <w:szCs w:val="48"/>
    </w:rPr>
  </w:style>
  <w:style w:type="character" w:styleId="843" w:customStyle="1">
    <w:name w:val="Subtitle Char"/>
    <w:basedOn w:val="781"/>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81"/>
    <w:uiPriority w:val="99"/>
    <w:qFormat/>
  </w:style>
  <w:style w:type="character" w:styleId="847" w:customStyle="1">
    <w:name w:val="Caption Char"/>
    <w:uiPriority w:val="99"/>
    <w:qFormat/>
  </w:style>
  <w:style w:type="table" w:styleId="848"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Heading"/>
    <w:uiPriority w:val="39"/>
    <w:unhideWhenUsed/>
    <w:qFormat/>
    <w:rPr>
      <w:rFonts w:hint="default" w:ascii="Calibri" w:hAnsi="Calibri" w:eastAsia="宋体" w:cs="Times New Roman"/>
    </w:rPr>
  </w:style>
  <w:style w:type="paragraph" w:styleId="870" w:customStyle="1">
    <w:name w:val="正文首行缩进11"/>
    <w:basedOn w:val="827"/>
    <w:next w:val="871"/>
    <w:uiPriority w:val="0"/>
    <w:qFormat/>
    <w:pPr>
      <w:ind w:firstLine="420"/>
    </w:pPr>
    <w:rPr>
      <w:rFonts w:ascii="仿宋_GB2312" w:eastAsia="仿宋_GB2312"/>
      <w:sz w:val="30"/>
      <w:szCs w:val="30"/>
    </w:rPr>
  </w:style>
  <w:style w:type="paragraph" w:styleId="871" w:customStyle="1">
    <w:name w:val="正文首行缩进 211"/>
    <w:basedOn w:val="872"/>
    <w:uiPriority w:val="0"/>
    <w:qFormat/>
    <w:pPr>
      <w:ind w:firstLine="420"/>
    </w:pPr>
    <w:rPr>
      <w:rFonts w:ascii="Times New Roman" w:hAnsi="Times New Roman"/>
    </w:rPr>
  </w:style>
  <w:style w:type="paragraph" w:styleId="872" w:customStyle="1">
    <w:name w:val="正文文本缩进11"/>
    <w:basedOn w:val="821"/>
    <w:uiPriority w:val="0"/>
    <w:qFormat/>
    <w:pPr>
      <w:ind w:left="420"/>
      <w:spacing w:after="120"/>
    </w:pPr>
    <w:rPr>
      <w:rFonts w:ascii="Calibri" w:hAnsi="Calibri"/>
    </w:rPr>
  </w:style>
  <w:style w:type="paragraph" w:styleId="873" w:customStyle="1">
    <w:name w:val="寄信人地址11"/>
    <w:basedOn w:val="821"/>
    <w:uiPriority w:val="0"/>
    <w:qFormat/>
    <w:rPr>
      <w:rFonts w:ascii="Arial" w:hAnsi="Arial"/>
    </w:rPr>
  </w:style>
  <w:style w:type="paragraph" w:styleId="874" w:customStyle="1">
    <w:name w:val="正文文本111"/>
    <w:basedOn w:val="819"/>
    <w:next w:val="819"/>
    <w:uiPriority w:val="0"/>
    <w:qFormat/>
  </w:style>
  <w:style w:type="paragraph" w:styleId="8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76" w:customStyle="1">
    <w:name w:val="目录 111"/>
    <w:basedOn w:val="771"/>
    <w:next w:val="771"/>
    <w:uiPriority w:val="39"/>
    <w:unhideWhenUsed/>
    <w:qFormat/>
    <w:pPr>
      <w:jc w:val="left"/>
      <w:spacing w:after="100" w:line="259" w:lineRule="auto"/>
      <w:widowControl/>
    </w:pPr>
    <w:rPr>
      <w:rFonts w:ascii="Calibri" w:hAnsi="Calibri"/>
      <w:sz w:val="22"/>
      <w:szCs w:val="22"/>
    </w:rPr>
  </w:style>
  <w:style w:type="character" w:styleId="877" w:customStyle="1">
    <w:name w:val="标题 1 字符1"/>
    <w:link w:val="772"/>
    <w:uiPriority w:val="9"/>
    <w:qFormat/>
    <w:rPr>
      <w:rFonts w:ascii="Arial" w:hAnsi="Arial" w:eastAsia="Arial" w:cs="Arial"/>
      <w:sz w:val="40"/>
      <w:szCs w:val="40"/>
    </w:rPr>
  </w:style>
  <w:style w:type="character" w:styleId="878" w:customStyle="1">
    <w:name w:val="标题 2 字符2"/>
    <w:link w:val="773"/>
    <w:uiPriority w:val="9"/>
    <w:qFormat/>
    <w:rPr>
      <w:rFonts w:ascii="Arial" w:hAnsi="Arial" w:eastAsia="Arial" w:cs="Arial"/>
      <w:sz w:val="34"/>
    </w:rPr>
  </w:style>
  <w:style w:type="character" w:styleId="879" w:customStyle="1">
    <w:name w:val="标题 3 字符1"/>
    <w:link w:val="774"/>
    <w:uiPriority w:val="9"/>
    <w:qFormat/>
    <w:rPr>
      <w:rFonts w:ascii="Arial" w:hAnsi="Arial" w:eastAsia="Arial" w:cs="Arial"/>
      <w:sz w:val="30"/>
      <w:szCs w:val="30"/>
    </w:rPr>
  </w:style>
  <w:style w:type="character" w:styleId="880" w:customStyle="1">
    <w:name w:val="标题 4 字符2"/>
    <w:link w:val="775"/>
    <w:uiPriority w:val="9"/>
    <w:qFormat/>
    <w:rPr>
      <w:rFonts w:ascii="Arial" w:hAnsi="Arial" w:eastAsia="Arial" w:cs="Arial"/>
      <w:b/>
      <w:bCs/>
      <w:sz w:val="26"/>
      <w:szCs w:val="26"/>
    </w:rPr>
  </w:style>
  <w:style w:type="character" w:styleId="881" w:customStyle="1">
    <w:name w:val="标题 5 字符1"/>
    <w:link w:val="776"/>
    <w:uiPriority w:val="9"/>
    <w:qFormat/>
    <w:rPr>
      <w:rFonts w:ascii="Arial" w:hAnsi="Arial" w:eastAsia="Arial" w:cs="Arial"/>
      <w:b/>
      <w:bCs/>
      <w:sz w:val="24"/>
      <w:szCs w:val="24"/>
    </w:rPr>
  </w:style>
  <w:style w:type="character" w:styleId="882" w:customStyle="1">
    <w:name w:val="标题 6 字符"/>
    <w:link w:val="777"/>
    <w:uiPriority w:val="9"/>
    <w:qFormat/>
    <w:rPr>
      <w:rFonts w:ascii="Arial" w:hAnsi="Arial" w:eastAsia="Arial" w:cs="Arial"/>
      <w:b/>
      <w:bCs/>
      <w:sz w:val="22"/>
      <w:szCs w:val="22"/>
    </w:rPr>
  </w:style>
  <w:style w:type="character" w:styleId="883" w:customStyle="1">
    <w:name w:val="标题 7 字符1"/>
    <w:link w:val="778"/>
    <w:uiPriority w:val="9"/>
    <w:qFormat/>
    <w:rPr>
      <w:rFonts w:ascii="Arial" w:hAnsi="Arial" w:eastAsia="Arial" w:cs="Arial"/>
      <w:b/>
      <w:bCs/>
      <w:i/>
      <w:iCs/>
      <w:sz w:val="22"/>
      <w:szCs w:val="22"/>
    </w:rPr>
  </w:style>
  <w:style w:type="character" w:styleId="884" w:customStyle="1">
    <w:name w:val="标题 8 字符"/>
    <w:link w:val="779"/>
    <w:uiPriority w:val="9"/>
    <w:qFormat/>
    <w:rPr>
      <w:rFonts w:ascii="Arial" w:hAnsi="Arial" w:eastAsia="Arial" w:cs="Arial"/>
      <w:i/>
      <w:iCs/>
      <w:sz w:val="22"/>
      <w:szCs w:val="22"/>
    </w:rPr>
  </w:style>
  <w:style w:type="character" w:styleId="885" w:customStyle="1">
    <w:name w:val="标题 9 字符"/>
    <w:link w:val="780"/>
    <w:uiPriority w:val="9"/>
    <w:qFormat/>
    <w:rPr>
      <w:rFonts w:ascii="Arial" w:hAnsi="Arial" w:eastAsia="Arial" w:cs="Arial"/>
      <w:i/>
      <w:iCs/>
      <w:sz w:val="21"/>
      <w:szCs w:val="21"/>
    </w:rPr>
  </w:style>
  <w:style w:type="paragraph" w:styleId="886">
    <w:name w:val="List Paragraph"/>
    <w:basedOn w:val="771"/>
    <w:uiPriority w:val="34"/>
    <w:qFormat/>
    <w:pPr>
      <w:contextualSpacing/>
      <w:ind w:left="720"/>
    </w:pPr>
  </w:style>
  <w:style w:type="paragraph" w:styleId="887">
    <w:name w:val="No Spacing"/>
    <w:uiPriority w:val="1"/>
    <w:qFormat/>
    <w:rPr>
      <w:rFonts w:hint="default" w:ascii="Times New Roman" w:hAnsi="Times New Roman" w:eastAsia="宋体" w:cs="Times New Roman"/>
      <w:lang w:val="en-US" w:eastAsia="zh-CN" w:bidi="ar-SA"/>
    </w:rPr>
  </w:style>
  <w:style w:type="character" w:styleId="888" w:customStyle="1">
    <w:name w:val="标题 字符"/>
    <w:link w:val="809"/>
    <w:uiPriority w:val="10"/>
    <w:qFormat/>
    <w:rPr>
      <w:sz w:val="48"/>
      <w:szCs w:val="48"/>
    </w:rPr>
  </w:style>
  <w:style w:type="character" w:styleId="889" w:customStyle="1">
    <w:name w:val="副标题 字符"/>
    <w:link w:val="802"/>
    <w:uiPriority w:val="11"/>
    <w:qFormat/>
    <w:rPr>
      <w:sz w:val="24"/>
      <w:szCs w:val="24"/>
    </w:rPr>
  </w:style>
  <w:style w:type="paragraph" w:styleId="890">
    <w:name w:val="Quote"/>
    <w:basedOn w:val="771"/>
    <w:next w:val="771"/>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71"/>
    <w:next w:val="771"/>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character" w:styleId="894" w:customStyle="1">
    <w:name w:val="页眉 字符1"/>
    <w:link w:val="799"/>
    <w:uiPriority w:val="99"/>
    <w:qFormat/>
  </w:style>
  <w:style w:type="character" w:styleId="895" w:customStyle="1">
    <w:name w:val="Footer Char"/>
    <w:uiPriority w:val="99"/>
    <w:qFormat/>
  </w:style>
  <w:style w:type="character" w:styleId="896" w:customStyle="1">
    <w:name w:val="页脚 字符1"/>
    <w:link w:val="798"/>
    <w:uiPriority w:val="99"/>
    <w:qFormat/>
  </w:style>
  <w:style w:type="table" w:styleId="8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脚注文本 字符"/>
    <w:link w:val="803"/>
    <w:uiPriority w:val="99"/>
    <w:qFormat/>
    <w:rPr>
      <w:sz w:val="18"/>
    </w:rPr>
  </w:style>
  <w:style w:type="character" w:styleId="1023" w:customStyle="1">
    <w:name w:val="尾注文本 字符"/>
    <w:link w:val="797"/>
    <w:uiPriority w:val="99"/>
    <w:qFormat/>
    <w:rPr>
      <w:sz w:val="20"/>
    </w:rPr>
  </w:style>
  <w:style w:type="paragraph" w:styleId="1024" w:customStyle="1">
    <w:name w:val="TOC 标题1"/>
    <w:uiPriority w:val="39"/>
    <w:unhideWhenUsed/>
    <w:qFormat/>
    <w:rPr>
      <w:rFonts w:hint="default" w:ascii="Times New Roman" w:hAnsi="Times New Roman" w:eastAsia="宋体" w:cs="Times New Roman"/>
      <w:lang w:val="en-US" w:eastAsia="zh-CN" w:bidi="ar-SA"/>
    </w:rPr>
  </w:style>
  <w:style w:type="paragraph" w:styleId="1025" w:customStyle="1">
    <w:name w:val="标题 111"/>
    <w:basedOn w:val="771"/>
    <w:next w:val="771"/>
    <w:link w:val="1055"/>
    <w:uiPriority w:val="9"/>
    <w:qFormat/>
    <w:pPr>
      <w:jc w:val="center"/>
      <w:keepLines/>
      <w:keepNext/>
      <w:spacing w:line="578" w:lineRule="auto"/>
      <w:outlineLvl w:val="0"/>
    </w:pPr>
    <w:rPr>
      <w:rFonts w:eastAsia="新宋体"/>
      <w:b/>
      <w:bCs/>
      <w:sz w:val="30"/>
      <w:szCs w:val="44"/>
    </w:rPr>
  </w:style>
  <w:style w:type="paragraph" w:styleId="1026" w:customStyle="1">
    <w:name w:val="标题 21"/>
    <w:basedOn w:val="771"/>
    <w:next w:val="771"/>
    <w:link w:val="1056"/>
    <w:uiPriority w:val="0"/>
    <w:qFormat/>
    <w:pPr>
      <w:keepLines/>
      <w:keepNext/>
      <w:spacing w:before="260" w:after="260" w:line="416" w:lineRule="auto"/>
      <w:outlineLvl w:val="1"/>
    </w:pPr>
    <w:rPr>
      <w:rFonts w:ascii="Cambria" w:hAnsi="Cambria"/>
      <w:b/>
      <w:bCs/>
      <w:sz w:val="32"/>
      <w:szCs w:val="32"/>
    </w:rPr>
  </w:style>
  <w:style w:type="paragraph" w:styleId="1027" w:customStyle="1">
    <w:name w:val="标题 31"/>
    <w:basedOn w:val="771"/>
    <w:next w:val="771"/>
    <w:link w:val="1057"/>
    <w:uiPriority w:val="9"/>
    <w:qFormat/>
    <w:pPr>
      <w:keepLines/>
      <w:keepNext/>
      <w:spacing w:before="260" w:after="260" w:line="416" w:lineRule="auto"/>
      <w:outlineLvl w:val="2"/>
    </w:pPr>
    <w:rPr>
      <w:b/>
      <w:bCs/>
      <w:sz w:val="32"/>
      <w:szCs w:val="32"/>
    </w:rPr>
  </w:style>
  <w:style w:type="paragraph" w:styleId="1028" w:customStyle="1">
    <w:name w:val="标题 41"/>
    <w:basedOn w:val="771"/>
    <w:next w:val="771"/>
    <w:link w:val="1058"/>
    <w:uiPriority w:val="9"/>
    <w:qFormat/>
    <w:pPr>
      <w:keepLines/>
      <w:keepNext/>
      <w:spacing w:before="280" w:after="290" w:line="376" w:lineRule="auto"/>
      <w:outlineLvl w:val="3"/>
    </w:pPr>
    <w:rPr>
      <w:rFonts w:ascii="Cambria" w:hAnsi="Cambria"/>
      <w:b/>
      <w:bCs/>
      <w:sz w:val="28"/>
      <w:szCs w:val="28"/>
    </w:rPr>
  </w:style>
  <w:style w:type="paragraph" w:styleId="1029" w:customStyle="1">
    <w:name w:val="标题 51"/>
    <w:basedOn w:val="771"/>
    <w:next w:val="771"/>
    <w:link w:val="1047"/>
    <w:uiPriority w:val="0"/>
    <w:qFormat/>
    <w:pPr>
      <w:keepLines/>
      <w:keepNext/>
      <w:spacing w:before="280" w:after="290" w:line="376" w:lineRule="auto"/>
      <w:outlineLvl w:val="4"/>
    </w:pPr>
    <w:rPr>
      <w:b/>
      <w:bCs/>
      <w:sz w:val="28"/>
      <w:szCs w:val="28"/>
    </w:rPr>
  </w:style>
  <w:style w:type="paragraph" w:styleId="1030" w:customStyle="1">
    <w:name w:val="标题 71"/>
    <w:basedOn w:val="771"/>
    <w:next w:val="771"/>
    <w:link w:val="1049"/>
    <w:uiPriority w:val="9"/>
    <w:qFormat/>
    <w:pPr>
      <w:keepLines/>
      <w:keepNext/>
      <w:spacing w:before="240" w:after="64" w:line="320" w:lineRule="auto"/>
      <w:outlineLvl w:val="6"/>
    </w:pPr>
    <w:rPr>
      <w:rFonts w:ascii="Calibri" w:hAnsi="Calibri"/>
      <w:b/>
      <w:bCs/>
      <w:sz w:val="24"/>
    </w:rPr>
  </w:style>
  <w:style w:type="character" w:styleId="1031" w:customStyle="1">
    <w:name w:val="默认段落字体1"/>
    <w:uiPriority w:val="0"/>
    <w:semiHidden/>
    <w:qFormat/>
  </w:style>
  <w:style w:type="table" w:styleId="1032" w:customStyle="1">
    <w:name w:val="普通表格1"/>
    <w:uiPriority w:val="0"/>
    <w:semiHidden/>
    <w:qFormat/>
    <w:tblPr>
      <w:tblCellMar>
        <w:left w:w="0" w:type="dxa"/>
        <w:top w:w="0" w:type="dxa"/>
        <w:right w:w="0" w:type="dxa"/>
        <w:bottom w:w="0" w:type="dxa"/>
      </w:tblCellMar>
    </w:tblPr>
  </w:style>
  <w:style w:type="character" w:styleId="1033" w:customStyle="1">
    <w:name w:val="font01"/>
    <w:uiPriority w:val="0"/>
    <w:qFormat/>
    <w:rPr>
      <w:rFonts w:hint="eastAsia" w:ascii="仿宋" w:hAnsi="仿宋" w:eastAsia="仿宋" w:cs="仿宋"/>
      <w:color w:val="000000"/>
      <w:sz w:val="20"/>
      <w:szCs w:val="20"/>
      <w:u w:val="none"/>
    </w:rPr>
  </w:style>
  <w:style w:type="character" w:styleId="1034" w:customStyle="1">
    <w:name w:val="文档结构图 字符"/>
    <w:uiPriority w:val="0"/>
    <w:qFormat/>
    <w:rPr>
      <w:rFonts w:ascii="Microsoft YaHei UI" w:eastAsia="Microsoft YaHei UI"/>
      <w:sz w:val="18"/>
      <w:szCs w:val="18"/>
    </w:rPr>
  </w:style>
  <w:style w:type="character" w:styleId="1035" w:customStyle="1">
    <w:name w:val="标书正文 Char1"/>
    <w:link w:val="1036"/>
    <w:uiPriority w:val="0"/>
    <w:qFormat/>
    <w:rPr>
      <w:color w:val="000000"/>
      <w:sz w:val="22"/>
      <w:szCs w:val="28"/>
      <w:lang w:eastAsia="en-US"/>
    </w:rPr>
  </w:style>
  <w:style w:type="paragraph" w:styleId="1036" w:customStyle="1">
    <w:name w:val="标书正文"/>
    <w:basedOn w:val="771"/>
    <w:link w:val="103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7" w:customStyle="1">
    <w:name w:val="批注文字 Char1"/>
    <w:uiPriority w:val="0"/>
    <w:qFormat/>
    <w:rPr>
      <w:sz w:val="21"/>
      <w:szCs w:val="24"/>
    </w:rPr>
  </w:style>
  <w:style w:type="character" w:styleId="1038" w:customStyle="1">
    <w:name w:val="标题 2 Char"/>
    <w:uiPriority w:val="0"/>
    <w:qFormat/>
    <w:rPr>
      <w:rFonts w:ascii="Cambria" w:hAnsi="Cambria" w:eastAsia="宋体" w:cs="Times New Roman"/>
      <w:b/>
      <w:bCs/>
      <w:sz w:val="32"/>
      <w:szCs w:val="32"/>
    </w:rPr>
  </w:style>
  <w:style w:type="character" w:styleId="1039" w:customStyle="1">
    <w:name w:val="标题 4 字符"/>
    <w:uiPriority w:val="0"/>
    <w:semiHidden/>
    <w:qFormat/>
    <w:rPr>
      <w:rFonts w:ascii="等线 Light" w:hAnsi="等线 Light" w:eastAsia="等线 Light" w:cs="Times New Roman"/>
      <w:b/>
      <w:bCs/>
      <w:sz w:val="28"/>
      <w:szCs w:val="28"/>
    </w:rPr>
  </w:style>
  <w:style w:type="character" w:styleId="1040" w:customStyle="1">
    <w:name w:val="正文文本 Char"/>
    <w:uiPriority w:val="0"/>
    <w:qFormat/>
    <w:rPr>
      <w:sz w:val="21"/>
      <w:szCs w:val="24"/>
    </w:rPr>
  </w:style>
  <w:style w:type="character" w:styleId="1041" w:customStyle="1">
    <w:name w:val="页脚 Char"/>
    <w:uiPriority w:val="0"/>
    <w:qFormat/>
    <w:rPr>
      <w:sz w:val="18"/>
      <w:szCs w:val="18"/>
    </w:rPr>
  </w:style>
  <w:style w:type="character" w:styleId="1042" w:customStyle="1">
    <w:name w:val="批注引用1"/>
    <w:uiPriority w:val="99"/>
    <w:qFormat/>
    <w:rPr>
      <w:sz w:val="21"/>
      <w:szCs w:val="21"/>
    </w:rPr>
  </w:style>
  <w:style w:type="character" w:styleId="1043" w:customStyle="1">
    <w:name w:val="要点1"/>
    <w:uiPriority w:val="0"/>
    <w:qFormat/>
    <w:rPr>
      <w:b/>
      <w:bCs/>
    </w:rPr>
  </w:style>
  <w:style w:type="character" w:styleId="1044" w:customStyle="1">
    <w:name w:val="超链接1"/>
    <w:uiPriority w:val="0"/>
    <w:unhideWhenUsed/>
    <w:qFormat/>
    <w:rPr>
      <w:color w:val="0000ff"/>
      <w:u w:val="single"/>
    </w:rPr>
  </w:style>
  <w:style w:type="character" w:styleId="1045" w:customStyle="1">
    <w:name w:val="页码1"/>
    <w:uiPriority w:val="0"/>
    <w:qFormat/>
  </w:style>
  <w:style w:type="character" w:styleId="1046" w:customStyle="1">
    <w:name w:val="强调1"/>
    <w:uiPriority w:val="0"/>
    <w:qFormat/>
    <w:rPr>
      <w:i/>
    </w:rPr>
  </w:style>
  <w:style w:type="character" w:styleId="1047" w:customStyle="1">
    <w:name w:val="标题 5 字符"/>
    <w:link w:val="1029"/>
    <w:uiPriority w:val="0"/>
    <w:semiHidden/>
    <w:qFormat/>
    <w:rPr>
      <w:b/>
      <w:bCs/>
      <w:sz w:val="28"/>
      <w:szCs w:val="28"/>
    </w:rPr>
  </w:style>
  <w:style w:type="character" w:styleId="1048" w:customStyle="1">
    <w:name w:val="正文文本缩进 字符"/>
    <w:link w:val="830"/>
    <w:uiPriority w:val="99"/>
    <w:qFormat/>
    <w:rPr>
      <w:rFonts w:ascii="Calibri" w:hAnsi="Calibri"/>
      <w:sz w:val="21"/>
      <w:szCs w:val="24"/>
    </w:rPr>
  </w:style>
  <w:style w:type="character" w:styleId="1049" w:customStyle="1">
    <w:name w:val="标题 7 字符"/>
    <w:link w:val="1030"/>
    <w:uiPriority w:val="9"/>
    <w:semiHidden/>
    <w:qFormat/>
    <w:rPr>
      <w:rFonts w:ascii="Calibri" w:hAnsi="Calibri"/>
      <w:b/>
      <w:bCs/>
      <w:sz w:val="24"/>
      <w:szCs w:val="24"/>
    </w:rPr>
  </w:style>
  <w:style w:type="character" w:styleId="1050" w:customStyle="1">
    <w:name w:val="标题 2 字符"/>
    <w:uiPriority w:val="0"/>
    <w:semiHidden/>
    <w:qFormat/>
    <w:rPr>
      <w:rFonts w:ascii="等线 Light" w:hAnsi="等线 Light" w:eastAsia="等线 Light" w:cs="Times New Roman"/>
      <w:b/>
      <w:bCs/>
      <w:sz w:val="32"/>
      <w:szCs w:val="32"/>
    </w:rPr>
  </w:style>
  <w:style w:type="character" w:styleId="1051" w:customStyle="1">
    <w:name w:val="正文缩进 字符"/>
    <w:link w:val="1052"/>
    <w:uiPriority w:val="0"/>
    <w:qFormat/>
    <w:rPr>
      <w:sz w:val="21"/>
      <w:szCs w:val="24"/>
      <w:lang w:bidi="ar-SA"/>
    </w:rPr>
  </w:style>
  <w:style w:type="paragraph" w:styleId="1052" w:customStyle="1">
    <w:name w:val="正文缩进1"/>
    <w:basedOn w:val="771"/>
    <w:link w:val="1051"/>
    <w:uiPriority w:val="0"/>
    <w:qFormat/>
    <w:pPr>
      <w:ind w:firstLine="420"/>
    </w:pPr>
  </w:style>
  <w:style w:type="character" w:styleId="1053" w:customStyle="1">
    <w:name w:val="fontstyle01"/>
    <w:uiPriority w:val="0"/>
    <w:qFormat/>
    <w:rPr>
      <w:rFonts w:ascii="MicrosoftYaHeiLight" w:hAnsi="MicrosoftYaHeiLight"/>
      <w:color w:val="000000"/>
      <w:sz w:val="22"/>
      <w:szCs w:val="22"/>
    </w:rPr>
  </w:style>
  <w:style w:type="character" w:styleId="1054" w:customStyle="1">
    <w:name w:val="正文文本首行缩进 2 字符"/>
    <w:link w:val="829"/>
    <w:uiPriority w:val="0"/>
    <w:qFormat/>
  </w:style>
  <w:style w:type="character" w:styleId="1055" w:customStyle="1">
    <w:name w:val="标题 1 字符"/>
    <w:link w:val="1025"/>
    <w:uiPriority w:val="0"/>
    <w:qFormat/>
    <w:rPr>
      <w:rFonts w:eastAsia="新宋体"/>
      <w:b/>
      <w:bCs/>
      <w:sz w:val="30"/>
      <w:szCs w:val="44"/>
    </w:rPr>
  </w:style>
  <w:style w:type="character" w:styleId="1056" w:customStyle="1">
    <w:name w:val="标题 2 字符1"/>
    <w:link w:val="1026"/>
    <w:uiPriority w:val="9"/>
    <w:qFormat/>
    <w:rPr>
      <w:rFonts w:ascii="Cambria" w:hAnsi="Cambria"/>
      <w:b/>
      <w:bCs/>
      <w:sz w:val="32"/>
      <w:szCs w:val="32"/>
    </w:rPr>
  </w:style>
  <w:style w:type="character" w:styleId="1057" w:customStyle="1">
    <w:name w:val="标题 3 字符"/>
    <w:link w:val="1027"/>
    <w:uiPriority w:val="0"/>
    <w:semiHidden/>
    <w:qFormat/>
    <w:rPr>
      <w:b/>
      <w:bCs/>
      <w:sz w:val="32"/>
      <w:szCs w:val="32"/>
    </w:rPr>
  </w:style>
  <w:style w:type="character" w:styleId="1058" w:customStyle="1">
    <w:name w:val="标题 4 字符1"/>
    <w:link w:val="1028"/>
    <w:uiPriority w:val="9"/>
    <w:semiHidden/>
    <w:qFormat/>
    <w:rPr>
      <w:rFonts w:ascii="Cambria" w:hAnsi="Cambria"/>
      <w:b/>
      <w:bCs/>
      <w:sz w:val="28"/>
      <w:szCs w:val="28"/>
    </w:rPr>
  </w:style>
  <w:style w:type="character" w:styleId="1059" w:customStyle="1">
    <w:name w:val="文档结构图 字符1"/>
    <w:link w:val="1060"/>
    <w:uiPriority w:val="99"/>
    <w:qFormat/>
    <w:rPr>
      <w:rFonts w:ascii="宋体" w:hAnsi="Calibri"/>
      <w:sz w:val="18"/>
      <w:szCs w:val="18"/>
    </w:rPr>
  </w:style>
  <w:style w:type="paragraph" w:styleId="1060" w:customStyle="1">
    <w:name w:val="文档结构图1"/>
    <w:basedOn w:val="771"/>
    <w:link w:val="1059"/>
    <w:uiPriority w:val="99"/>
    <w:unhideWhenUsed/>
    <w:qFormat/>
    <w:rPr>
      <w:rFonts w:ascii="宋体" w:hAnsi="Calibri"/>
      <w:sz w:val="18"/>
      <w:szCs w:val="18"/>
    </w:rPr>
  </w:style>
  <w:style w:type="character" w:styleId="1061" w:customStyle="1">
    <w:name w:val="批注文字 字符"/>
    <w:link w:val="1062"/>
    <w:uiPriority w:val="0"/>
    <w:qFormat/>
    <w:rPr>
      <w:sz w:val="21"/>
      <w:szCs w:val="24"/>
    </w:rPr>
  </w:style>
  <w:style w:type="paragraph" w:styleId="1062" w:customStyle="1">
    <w:name w:val="批注文字1"/>
    <w:basedOn w:val="771"/>
    <w:link w:val="1061"/>
    <w:uiPriority w:val="0"/>
    <w:qFormat/>
    <w:pPr>
      <w:jc w:val="left"/>
    </w:pPr>
  </w:style>
  <w:style w:type="character" w:styleId="1063" w:customStyle="1">
    <w:name w:val="正文文本 字符"/>
    <w:link w:val="1064"/>
    <w:uiPriority w:val="1"/>
    <w:qFormat/>
    <w:rPr>
      <w:rFonts w:ascii="Calibri" w:hAnsi="Calibri"/>
      <w:sz w:val="21"/>
      <w:szCs w:val="24"/>
    </w:rPr>
  </w:style>
  <w:style w:type="paragraph" w:styleId="1064" w:customStyle="1">
    <w:name w:val="正文文本1"/>
    <w:basedOn w:val="771"/>
    <w:link w:val="1063"/>
    <w:uiPriority w:val="0"/>
    <w:qFormat/>
    <w:pPr>
      <w:spacing w:after="120"/>
    </w:pPr>
    <w:rPr>
      <w:rFonts w:ascii="Calibri" w:hAnsi="Calibri"/>
    </w:rPr>
  </w:style>
  <w:style w:type="character" w:styleId="1065" w:customStyle="1">
    <w:name w:val="纯文本 字符"/>
    <w:link w:val="1066"/>
    <w:uiPriority w:val="0"/>
    <w:qFormat/>
    <w:rPr>
      <w:rFonts w:ascii="宋体" w:hAnsi="Courier New"/>
      <w:sz w:val="21"/>
    </w:rPr>
  </w:style>
  <w:style w:type="paragraph" w:styleId="1066" w:customStyle="1">
    <w:name w:val="纯文本1"/>
    <w:basedOn w:val="771"/>
    <w:link w:val="1065"/>
    <w:uiPriority w:val="0"/>
    <w:qFormat/>
    <w:rPr>
      <w:rFonts w:ascii="宋体" w:hAnsi="Courier New"/>
      <w:szCs w:val="20"/>
    </w:rPr>
  </w:style>
  <w:style w:type="character" w:styleId="1067" w:customStyle="1">
    <w:name w:val="日期 字符"/>
    <w:link w:val="1068"/>
    <w:uiPriority w:val="99"/>
    <w:qFormat/>
    <w:rPr>
      <w:rFonts w:eastAsia="仿宋_GB2312"/>
      <w:sz w:val="28"/>
    </w:rPr>
  </w:style>
  <w:style w:type="paragraph" w:styleId="1068" w:customStyle="1">
    <w:name w:val="日期1"/>
    <w:basedOn w:val="771"/>
    <w:next w:val="771"/>
    <w:link w:val="1067"/>
    <w:uiPriority w:val="99"/>
    <w:qFormat/>
    <w:rPr>
      <w:rFonts w:eastAsia="仿宋_GB2312"/>
      <w:sz w:val="28"/>
      <w:szCs w:val="20"/>
    </w:rPr>
  </w:style>
  <w:style w:type="character" w:styleId="1069" w:customStyle="1">
    <w:name w:val="正文文本缩进 2 字符"/>
    <w:link w:val="1070"/>
    <w:uiPriority w:val="0"/>
    <w:qFormat/>
    <w:rPr>
      <w:rFonts w:ascii="仿宋_GB2312" w:eastAsia="仿宋_GB2312"/>
      <w:sz w:val="24"/>
      <w:szCs w:val="24"/>
      <w:lang w:bidi="ar-SA"/>
    </w:rPr>
  </w:style>
  <w:style w:type="paragraph" w:styleId="1070" w:customStyle="1">
    <w:name w:val="正文文本缩进 21"/>
    <w:basedOn w:val="771"/>
    <w:link w:val="1069"/>
    <w:uiPriority w:val="0"/>
    <w:qFormat/>
    <w:pPr>
      <w:ind w:firstLine="475"/>
      <w:spacing w:line="10" w:lineRule="atLeast"/>
    </w:pPr>
    <w:rPr>
      <w:rFonts w:ascii="仿宋_GB2312" w:eastAsia="仿宋_GB2312"/>
      <w:sz w:val="24"/>
    </w:rPr>
  </w:style>
  <w:style w:type="character" w:styleId="1071" w:customStyle="1">
    <w:name w:val="批注框文本 字符"/>
    <w:link w:val="1072"/>
    <w:uiPriority w:val="0"/>
    <w:qFormat/>
    <w:rPr>
      <w:sz w:val="18"/>
      <w:szCs w:val="18"/>
    </w:rPr>
  </w:style>
  <w:style w:type="paragraph" w:styleId="1072" w:customStyle="1">
    <w:name w:val="批注框文本1"/>
    <w:basedOn w:val="771"/>
    <w:link w:val="1071"/>
    <w:uiPriority w:val="0"/>
    <w:qFormat/>
    <w:rPr>
      <w:sz w:val="18"/>
      <w:szCs w:val="18"/>
    </w:rPr>
  </w:style>
  <w:style w:type="character" w:styleId="1073" w:customStyle="1">
    <w:name w:val="页脚 字符"/>
    <w:link w:val="1074"/>
    <w:uiPriority w:val="99"/>
    <w:qFormat/>
    <w:rPr>
      <w:sz w:val="18"/>
      <w:szCs w:val="18"/>
    </w:rPr>
  </w:style>
  <w:style w:type="paragraph" w:styleId="1074" w:customStyle="1">
    <w:name w:val="页脚1"/>
    <w:basedOn w:val="771"/>
    <w:link w:val="1073"/>
    <w:uiPriority w:val="0"/>
    <w:qFormat/>
    <w:pPr>
      <w:jc w:val="left"/>
      <w:tabs>
        <w:tab w:val="center" w:pos="4153" w:leader="none"/>
        <w:tab w:val="right" w:pos="8306" w:leader="none"/>
      </w:tabs>
    </w:pPr>
    <w:rPr>
      <w:sz w:val="18"/>
      <w:szCs w:val="18"/>
    </w:rPr>
  </w:style>
  <w:style w:type="character" w:styleId="1075" w:customStyle="1">
    <w:name w:val="页眉 字符"/>
    <w:link w:val="1076"/>
    <w:uiPriority w:val="0"/>
    <w:qFormat/>
    <w:rPr>
      <w:sz w:val="18"/>
      <w:szCs w:val="18"/>
    </w:rPr>
  </w:style>
  <w:style w:type="paragraph" w:styleId="1076" w:customStyle="1">
    <w:name w:val="页眉1"/>
    <w:basedOn w:val="771"/>
    <w:link w:val="1075"/>
    <w:uiPriority w:val="0"/>
    <w:qFormat/>
    <w:pPr>
      <w:jc w:val="center"/>
      <w:tabs>
        <w:tab w:val="center" w:pos="4153" w:leader="none"/>
        <w:tab w:val="right" w:pos="8306" w:leader="none"/>
      </w:tabs>
      <w:pBdr>
        <w:bottom w:val="single" w:color="000000" w:sz="6" w:space="1"/>
      </w:pBdr>
    </w:pPr>
    <w:rPr>
      <w:sz w:val="18"/>
      <w:szCs w:val="18"/>
    </w:rPr>
  </w:style>
  <w:style w:type="character" w:styleId="1077" w:customStyle="1">
    <w:name w:val="批注主题 字符"/>
    <w:link w:val="1078"/>
    <w:uiPriority w:val="0"/>
    <w:qFormat/>
    <w:rPr>
      <w:b/>
      <w:bCs/>
      <w:sz w:val="21"/>
      <w:szCs w:val="24"/>
    </w:rPr>
  </w:style>
  <w:style w:type="paragraph" w:styleId="1078" w:customStyle="1">
    <w:name w:val="批注主题1"/>
    <w:basedOn w:val="1062"/>
    <w:next w:val="1062"/>
    <w:link w:val="1077"/>
    <w:uiPriority w:val="0"/>
    <w:qFormat/>
    <w:rPr>
      <w:b/>
      <w:bCs/>
    </w:rPr>
  </w:style>
  <w:style w:type="character" w:styleId="1079" w:customStyle="1">
    <w:name w:val="正文文本首行缩进 字符1"/>
    <w:link w:val="826"/>
    <w:uiPriority w:val="0"/>
    <w:qFormat/>
    <w:rPr>
      <w:rFonts w:ascii="仿宋_GB2312" w:hAnsi="Times New Roman" w:eastAsia="仿宋_GB2312"/>
      <w:sz w:val="30"/>
      <w:szCs w:val="30"/>
    </w:rPr>
  </w:style>
  <w:style w:type="character" w:styleId="1080" w:customStyle="1">
    <w:name w:val="标题 3 Char"/>
    <w:uiPriority w:val="9"/>
    <w:qFormat/>
    <w:rPr>
      <w:rFonts w:ascii="Arial" w:hAnsi="Arial" w:eastAsia="宋体" w:cs="Times New Roman"/>
      <w:b/>
      <w:sz w:val="32"/>
      <w:szCs w:val="20"/>
    </w:rPr>
  </w:style>
  <w:style w:type="character" w:styleId="1081" w:customStyle="1">
    <w:name w:val="NormalCharacter1"/>
    <w:link w:val="771"/>
    <w:uiPriority w:val="0"/>
    <w:semiHidden/>
    <w:qFormat/>
    <w:rPr>
      <w:rFonts w:hint="default" w:ascii="Times New Roman" w:hAnsi="Times New Roman" w:eastAsia="宋体" w:cs="Times New Roman"/>
      <w:sz w:val="21"/>
      <w:szCs w:val="24"/>
      <w:lang w:val="en-US" w:eastAsia="zh-CN" w:bidi="ar-SA"/>
    </w:rPr>
  </w:style>
  <w:style w:type="character" w:styleId="1082" w:customStyle="1">
    <w:name w:val="font41"/>
    <w:uiPriority w:val="0"/>
    <w:qFormat/>
    <w:rPr>
      <w:rFonts w:ascii="Symbol" w:hAnsi="Symbol" w:cs="Symbol"/>
      <w:color w:val="000000"/>
      <w:sz w:val="20"/>
      <w:szCs w:val="20"/>
      <w:u w:val="none"/>
    </w:rPr>
  </w:style>
  <w:style w:type="character" w:styleId="1083" w:customStyle="1">
    <w:name w:val="正文首行缩进 2 字符"/>
    <w:link w:val="1084"/>
    <w:uiPriority w:val="99"/>
    <w:qFormat/>
    <w:rPr>
      <w:sz w:val="21"/>
      <w:szCs w:val="24"/>
    </w:rPr>
  </w:style>
  <w:style w:type="paragraph" w:styleId="1084" w:customStyle="1">
    <w:name w:val="_Style 63"/>
    <w:basedOn w:val="830"/>
    <w:next w:val="771"/>
    <w:link w:val="1083"/>
    <w:uiPriority w:val="99"/>
    <w:unhideWhenUsed/>
    <w:qFormat/>
    <w:pPr>
      <w:ind w:firstLine="420"/>
    </w:pPr>
    <w:rPr>
      <w:rFonts w:ascii="Times New Roman" w:hAnsi="Times New Roman"/>
    </w:rPr>
  </w:style>
  <w:style w:type="character" w:styleId="1085" w:customStyle="1">
    <w:name w:val="标题 1 Char"/>
    <w:uiPriority w:val="9"/>
    <w:qFormat/>
    <w:rPr>
      <w:b/>
      <w:bCs/>
      <w:sz w:val="44"/>
      <w:szCs w:val="44"/>
    </w:rPr>
  </w:style>
  <w:style w:type="character" w:styleId="1086" w:customStyle="1">
    <w:name w:val="批注文字 Char"/>
    <w:uiPriority w:val="0"/>
    <w:qFormat/>
    <w:rPr>
      <w:rFonts w:ascii="Times New Roman" w:hAnsi="Times New Roman"/>
      <w:sz w:val="21"/>
    </w:rPr>
  </w:style>
  <w:style w:type="character" w:styleId="1087" w:customStyle="1">
    <w:name w:val="文档结构图 Char"/>
    <w:uiPriority w:val="99"/>
    <w:semiHidden/>
    <w:qFormat/>
    <w:rPr>
      <w:rFonts w:ascii="宋体"/>
      <w:sz w:val="18"/>
      <w:szCs w:val="18"/>
    </w:rPr>
  </w:style>
  <w:style w:type="character" w:styleId="1088" w:customStyle="1">
    <w:name w:val="纯文本 Char"/>
    <w:uiPriority w:val="0"/>
    <w:qFormat/>
    <w:rPr>
      <w:rFonts w:ascii="宋体" w:hAnsi="Courier New" w:eastAsia="宋体" w:cs="Courier New"/>
      <w:szCs w:val="21"/>
    </w:rPr>
  </w:style>
  <w:style w:type="character" w:styleId="1089" w:customStyle="1">
    <w:name w:val="纯文本 Char1"/>
    <w:uiPriority w:val="0"/>
    <w:qFormat/>
    <w:rPr>
      <w:rFonts w:ascii="宋体" w:hAnsi="Courier New" w:eastAsia="宋体" w:cs="Times New Roman"/>
      <w:szCs w:val="20"/>
    </w:rPr>
  </w:style>
  <w:style w:type="character" w:styleId="1090" w:customStyle="1">
    <w:name w:val="正文文本首行缩进 字符"/>
    <w:uiPriority w:val="0"/>
    <w:qFormat/>
  </w:style>
  <w:style w:type="character" w:styleId="1091" w:customStyle="1">
    <w:name w:val="页眉 Char"/>
    <w:uiPriority w:val="0"/>
    <w:qFormat/>
    <w:rPr>
      <w:sz w:val="18"/>
      <w:szCs w:val="18"/>
    </w:rPr>
  </w:style>
  <w:style w:type="character" w:styleId="1092" w:customStyle="1">
    <w:name w:val="日期 Char"/>
    <w:uiPriority w:val="99"/>
    <w:semiHidden/>
    <w:qFormat/>
  </w:style>
  <w:style w:type="character" w:styleId="1093" w:customStyle="1">
    <w:name w:val="批注框文本 Char"/>
    <w:uiPriority w:val="0"/>
    <w:qFormat/>
    <w:rPr>
      <w:sz w:val="18"/>
      <w:szCs w:val="18"/>
    </w:rPr>
  </w:style>
  <w:style w:type="character" w:styleId="1094" w:customStyle="1">
    <w:name w:val="apple-converted-space"/>
    <w:uiPriority w:val="0"/>
    <w:qFormat/>
  </w:style>
  <w:style w:type="character" w:styleId="1095" w:customStyle="1">
    <w:name w:val="批注主题 Char"/>
    <w:uiPriority w:val="0"/>
    <w:qFormat/>
    <w:rPr>
      <w:rFonts w:ascii="Times New Roman" w:hAnsi="Times New Roman"/>
      <w:b/>
      <w:bCs/>
      <w:sz w:val="21"/>
    </w:rPr>
  </w:style>
  <w:style w:type="character" w:styleId="1096" w:customStyle="1">
    <w:name w:val="标题 4 Char"/>
    <w:uiPriority w:val="9"/>
    <w:semiHidden/>
    <w:qFormat/>
    <w:rPr>
      <w:rFonts w:ascii="Cambria" w:hAnsi="Cambria" w:eastAsia="宋体" w:cs="Times New Roman"/>
      <w:b/>
      <w:bCs/>
      <w:sz w:val="28"/>
      <w:szCs w:val="28"/>
    </w:rPr>
  </w:style>
  <w:style w:type="paragraph" w:styleId="1097" w:customStyle="1">
    <w:name w:val="索引 41"/>
    <w:basedOn w:val="771"/>
    <w:next w:val="771"/>
    <w:uiPriority w:val="99"/>
    <w:unhideWhenUsed/>
    <w:qFormat/>
    <w:pPr>
      <w:ind w:left="600"/>
    </w:pPr>
    <w:rPr>
      <w:rFonts w:ascii="Calibri" w:hAnsi="Calibri"/>
      <w:szCs w:val="22"/>
    </w:rPr>
  </w:style>
  <w:style w:type="paragraph" w:styleId="1098" w:customStyle="1">
    <w:name w:val="索引 11"/>
    <w:basedOn w:val="771"/>
    <w:next w:val="771"/>
    <w:uiPriority w:val="0"/>
    <w:qFormat/>
    <w:pPr>
      <w:jc w:val="center"/>
      <w:tabs>
        <w:tab w:val="left" w:pos="560" w:leader="none"/>
      </w:tabs>
    </w:pPr>
    <w:rPr>
      <w:rFonts w:ascii="宋体" w:hAnsi="宋体"/>
    </w:rPr>
  </w:style>
  <w:style w:type="paragraph" w:styleId="1099" w:customStyle="1">
    <w:name w:val="脚注文本11"/>
    <w:basedOn w:val="771"/>
    <w:next w:val="1100"/>
    <w:uiPriority w:val="0"/>
    <w:qFormat/>
    <w:pPr>
      <w:jc w:val="left"/>
    </w:pPr>
    <w:rPr>
      <w:rFonts w:ascii="宋体" w:eastAsia="Times New Roman"/>
      <w:sz w:val="18"/>
      <w:szCs w:val="18"/>
    </w:rPr>
  </w:style>
  <w:style w:type="paragraph" w:styleId="1100" w:customStyle="1">
    <w:name w:val="索引 511"/>
    <w:basedOn w:val="771"/>
    <w:next w:val="771"/>
    <w:uiPriority w:val="0"/>
    <w:qFormat/>
    <w:pPr>
      <w:ind w:left="798"/>
      <w:jc w:val="left"/>
    </w:pPr>
    <w:rPr>
      <w:rFonts w:ascii="Calibri" w:hAnsi="Calibri"/>
    </w:rPr>
  </w:style>
  <w:style w:type="paragraph" w:styleId="1101" w:customStyle="1">
    <w:name w:val="索引标题1"/>
    <w:basedOn w:val="771"/>
    <w:next w:val="1098"/>
    <w:uiPriority w:val="0"/>
    <w:qFormat/>
    <w:pPr>
      <w:tabs>
        <w:tab w:val="left" w:pos="560" w:leader="none"/>
      </w:tabs>
    </w:pPr>
    <w:rPr>
      <w:rFonts w:ascii="Arial" w:hAnsi="Arial" w:cs="Arial"/>
      <w:b/>
      <w:bCs/>
    </w:rPr>
  </w:style>
  <w:style w:type="paragraph" w:styleId="1102" w:customStyle="1">
    <w:name w:val="文本块1"/>
    <w:basedOn w:val="771"/>
    <w:uiPriority w:val="0"/>
    <w:qFormat/>
    <w:pPr>
      <w:ind w:left="420" w:right="33"/>
      <w:jc w:val="left"/>
    </w:pPr>
    <w:rPr>
      <w:sz w:val="24"/>
      <w:szCs w:val="20"/>
    </w:rPr>
  </w:style>
  <w:style w:type="paragraph" w:styleId="1103" w:customStyle="1">
    <w:name w:val="普通(网站)1"/>
    <w:basedOn w:val="771"/>
    <w:uiPriority w:val="99"/>
    <w:qFormat/>
    <w:pPr>
      <w:jc w:val="left"/>
      <w:spacing w:before="100" w:beforeAutospacing="1" w:after="100" w:afterAutospacing="1"/>
      <w:widowControl/>
    </w:pPr>
    <w:rPr>
      <w:rFonts w:ascii="宋体" w:hAnsi="宋体" w:cs="宋体"/>
      <w:sz w:val="24"/>
    </w:rPr>
  </w:style>
  <w:style w:type="paragraph" w:styleId="1104" w:customStyle="1">
    <w:name w:val="标题1"/>
    <w:basedOn w:val="771"/>
    <w:next w:val="771"/>
    <w:uiPriority w:val="10"/>
    <w:qFormat/>
    <w:pPr>
      <w:contextualSpacing/>
      <w:spacing w:before="300" w:after="200"/>
    </w:pPr>
    <w:rPr>
      <w:sz w:val="48"/>
      <w:szCs w:val="48"/>
    </w:rPr>
  </w:style>
  <w:style w:type="paragraph" w:styleId="1105" w:customStyle="1">
    <w:name w:val="_Style 15"/>
    <w:basedOn w:val="771"/>
    <w:next w:val="1106"/>
    <w:uiPriority w:val="34"/>
    <w:qFormat/>
    <w:pPr>
      <w:ind w:firstLine="420"/>
    </w:pPr>
    <w:rPr>
      <w:rFonts w:ascii="Calibri" w:hAnsi="Calibri"/>
      <w:szCs w:val="22"/>
    </w:rPr>
  </w:style>
  <w:style w:type="paragraph" w:styleId="1106" w:customStyle="1">
    <w:name w:val="列表段落1"/>
    <w:basedOn w:val="771"/>
    <w:uiPriority w:val="99"/>
    <w:qFormat/>
    <w:pPr>
      <w:ind w:firstLine="420"/>
    </w:pPr>
  </w:style>
  <w:style w:type="paragraph" w:styleId="1107" w:customStyle="1">
    <w:name w:val="179"/>
    <w:basedOn w:val="771"/>
    <w:uiPriority w:val="0"/>
    <w:qFormat/>
    <w:pPr>
      <w:ind w:firstLine="420"/>
      <w:jc w:val="left"/>
      <w:widowControl/>
    </w:pPr>
    <w:rPr>
      <w:rFonts w:ascii="宋体" w:hAnsi="宋体"/>
      <w:sz w:val="24"/>
    </w:rPr>
  </w:style>
  <w:style w:type="paragraph" w:styleId="1108" w:customStyle="1">
    <w:name w:val="段"/>
    <w:basedOn w:val="771"/>
    <w:next w:val="771"/>
    <w:uiPriority w:val="0"/>
    <w:qFormat/>
    <w:pPr>
      <w:ind w:firstLine="200"/>
      <w:widowControl/>
    </w:pPr>
    <w:rPr>
      <w:rFonts w:hint="eastAsia" w:ascii="宋体"/>
      <w:szCs w:val="20"/>
    </w:rPr>
  </w:style>
  <w:style w:type="paragraph" w:styleId="1109" w:customStyle="1">
    <w:name w:val="UserStyle_1"/>
    <w:basedOn w:val="771"/>
    <w:uiPriority w:val="0"/>
    <w:qFormat/>
    <w:pPr>
      <w:ind w:left="-6" w:hanging="99"/>
      <w:jc w:val="left"/>
    </w:pPr>
    <w:rPr>
      <w:rFonts w:ascii="宋体"/>
      <w:b/>
    </w:rPr>
  </w:style>
  <w:style w:type="paragraph" w:styleId="1110" w:customStyle="1">
    <w:name w:val="_Style 101"/>
    <w:basedOn w:val="771"/>
    <w:next w:val="771"/>
    <w:uiPriority w:val="39"/>
    <w:unhideWhenUsed/>
    <w:qFormat/>
    <w:pPr>
      <w:ind w:left="420"/>
    </w:pPr>
    <w:rPr>
      <w:rFonts w:ascii="Calibri" w:hAnsi="Calibri"/>
      <w:szCs w:val="22"/>
    </w:rPr>
  </w:style>
  <w:style w:type="paragraph" w:styleId="1111" w:customStyle="1">
    <w:name w:val="Heading21"/>
    <w:basedOn w:val="771"/>
    <w:next w:val="771"/>
    <w:uiPriority w:val="0"/>
    <w:qFormat/>
    <w:pPr>
      <w:jc w:val="left"/>
      <w:keepLines/>
      <w:keepNext/>
      <w:spacing w:before="260" w:after="260" w:line="416" w:lineRule="auto"/>
    </w:pPr>
    <w:rPr>
      <w:rFonts w:ascii="Calibri Light" w:hAnsi="Calibri Light"/>
      <w:b/>
      <w:bCs/>
      <w:sz w:val="24"/>
      <w:szCs w:val="32"/>
    </w:rPr>
  </w:style>
  <w:style w:type="paragraph" w:styleId="1112" w:customStyle="1">
    <w:name w:val="样式"/>
    <w:uiPriority w:val="0"/>
    <w:qFormat/>
    <w:pPr>
      <w:widowControl w:val="off"/>
    </w:pPr>
    <w:rPr>
      <w:rFonts w:hint="default" w:ascii="宋体" w:hAnsi="宋体" w:eastAsia="宋体" w:cs="宋体"/>
      <w:sz w:val="24"/>
      <w:szCs w:val="24"/>
      <w:lang w:val="en-US" w:eastAsia="zh-CN" w:bidi="ar-SA"/>
    </w:rPr>
  </w:style>
  <w:style w:type="paragraph" w:styleId="1113" w:customStyle="1">
    <w:name w:val="投标文件正文"/>
    <w:basedOn w:val="771"/>
    <w:uiPriority w:val="0"/>
    <w:qFormat/>
    <w:pPr>
      <w:ind w:firstLine="200"/>
      <w:spacing w:before="40" w:after="40" w:line="400" w:lineRule="exact"/>
    </w:pPr>
    <w:rPr>
      <w:sz w:val="24"/>
    </w:rPr>
  </w:style>
  <w:style w:type="paragraph" w:styleId="1114" w:customStyle="1">
    <w:name w:val="脚注文本1"/>
    <w:basedOn w:val="824"/>
    <w:next w:val="1115"/>
    <w:uiPriority w:val="0"/>
    <w:qFormat/>
    <w:pPr>
      <w:jc w:val="left"/>
    </w:pPr>
    <w:rPr>
      <w:rFonts w:ascii="宋体" w:eastAsia="Times New Roman"/>
      <w:sz w:val="18"/>
      <w:szCs w:val="18"/>
    </w:rPr>
  </w:style>
  <w:style w:type="paragraph" w:styleId="1115" w:customStyle="1">
    <w:name w:val="索引 51"/>
    <w:basedOn w:val="824"/>
    <w:next w:val="824"/>
    <w:uiPriority w:val="0"/>
    <w:qFormat/>
    <w:pPr>
      <w:ind w:left="798"/>
      <w:jc w:val="left"/>
    </w:pPr>
    <w:rPr>
      <w:rFonts w:ascii="Calibri" w:hAnsi="Calibri"/>
    </w:rPr>
  </w:style>
  <w:style w:type="paragraph" w:styleId="1116" w:customStyle="1">
    <w:name w:val="TOC 标题2"/>
    <w:basedOn w:val="1025"/>
    <w:next w:val="771"/>
    <w:uiPriority w:val="39"/>
    <w:qFormat/>
    <w:pPr>
      <w:jc w:val="left"/>
      <w:spacing w:before="480" w:line="276" w:lineRule="auto"/>
      <w:widowControl/>
      <w:outlineLvl w:val="9"/>
    </w:pPr>
    <w:rPr>
      <w:rFonts w:ascii="Cambria" w:hAnsi="Cambria" w:eastAsia="宋体"/>
      <w:color w:val="365f91"/>
      <w:sz w:val="28"/>
      <w:szCs w:val="28"/>
    </w:rPr>
  </w:style>
  <w:style w:type="paragraph" w:styleId="1117" w:customStyle="1">
    <w:name w:val="NormalIndent1"/>
    <w:basedOn w:val="771"/>
    <w:uiPriority w:val="0"/>
    <w:qFormat/>
    <w:pPr>
      <w:ind w:firstLine="420"/>
    </w:pPr>
    <w:rPr>
      <w:szCs w:val="20"/>
    </w:rPr>
  </w:style>
  <w:style w:type="paragraph" w:styleId="1118" w:customStyle="1">
    <w:name w:val="标题 11"/>
    <w:basedOn w:val="824"/>
    <w:next w:val="824"/>
    <w:uiPriority w:val="0"/>
    <w:qFormat/>
    <w:pPr>
      <w:jc w:val="center"/>
      <w:keepLines/>
      <w:keepNext/>
      <w:spacing w:line="578" w:lineRule="auto"/>
      <w:outlineLvl w:val="0"/>
    </w:pPr>
    <w:rPr>
      <w:rFonts w:eastAsia="新宋体"/>
      <w:b/>
      <w:bCs/>
      <w:sz w:val="30"/>
      <w:szCs w:val="44"/>
    </w:rPr>
  </w:style>
  <w:style w:type="paragraph" w:styleId="1119" w:customStyle="1">
    <w:name w:val="首行缩进"/>
    <w:basedOn w:val="771"/>
    <w:uiPriority w:val="0"/>
    <w:qFormat/>
    <w:pPr>
      <w:ind w:firstLine="480"/>
    </w:pPr>
    <w:rPr>
      <w:szCs w:val="20"/>
      <w:lang w:val="zh-CN"/>
    </w:rPr>
  </w:style>
  <w:style w:type="paragraph" w:styleId="1120" w:customStyle="1">
    <w:name w:val="Other|1"/>
    <w:basedOn w:val="771"/>
    <w:uiPriority w:val="0"/>
    <w:qFormat/>
    <w:pPr>
      <w:ind w:firstLine="400"/>
      <w:spacing w:line="418" w:lineRule="auto"/>
    </w:pPr>
    <w:rPr>
      <w:rFonts w:ascii="宋体" w:hAnsi="宋体" w:cs="宋体"/>
      <w:sz w:val="30"/>
      <w:szCs w:val="30"/>
      <w:lang w:val="zh-TW" w:eastAsia="zh-TW" w:bidi="zh-TW"/>
    </w:rPr>
  </w:style>
  <w:style w:type="paragraph" w:styleId="1121" w:customStyle="1">
    <w:name w:val="BodyTextIndent1"/>
    <w:basedOn w:val="771"/>
    <w:uiPriority w:val="0"/>
    <w:qFormat/>
    <w:pPr>
      <w:ind w:left="420"/>
      <w:spacing w:after="120"/>
    </w:pPr>
    <w:rPr>
      <w:sz w:val="28"/>
      <w:szCs w:val="20"/>
    </w:rPr>
  </w:style>
  <w:style w:type="paragraph" w:styleId="112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3" w:customStyle="1">
    <w:name w:val="p0"/>
    <w:basedOn w:val="821"/>
    <w:uiPriority w:val="0"/>
    <w:qFormat/>
    <w:pPr>
      <w:widowControl/>
    </w:pPr>
    <w:rPr>
      <w:szCs w:val="21"/>
    </w:rPr>
  </w:style>
  <w:style w:type="paragraph" w:styleId="112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25" w:customStyle="1">
    <w:name w:val="one-p"/>
    <w:basedOn w:val="771"/>
    <w:uiPriority w:val="0"/>
    <w:qFormat/>
    <w:pPr>
      <w:jc w:val="left"/>
      <w:spacing w:before="100" w:beforeAutospacing="1" w:after="100" w:afterAutospacing="1"/>
      <w:widowControl/>
    </w:pPr>
    <w:rPr>
      <w:rFonts w:ascii="宋体" w:hAnsi="宋体" w:cs="宋体"/>
      <w:sz w:val="24"/>
    </w:rPr>
  </w:style>
  <w:style w:type="paragraph" w:styleId="1126" w:customStyle="1">
    <w:name w:val="列出段落1"/>
    <w:basedOn w:val="771"/>
    <w:uiPriority w:val="0"/>
    <w:qFormat/>
    <w:pPr>
      <w:ind w:firstLine="420"/>
    </w:pPr>
    <w:rPr>
      <w:rFonts w:ascii="Calibri" w:hAnsi="Calibri"/>
    </w:rPr>
  </w:style>
  <w:style w:type="table" w:styleId="1127" w:customStyle="1">
    <w:name w:val="网格型11"/>
    <w:basedOn w:val="1032"/>
    <w:uiPriority w:val="99"/>
    <w:qFormat/>
    <w:pPr>
      <w:jc w:val="both"/>
      <w:widowControl w:val="off"/>
    </w:pPr>
    <w:tblPr>
      <w:tblCellMar>
        <w:left w:w="0" w:type="dxa"/>
        <w:top w:w="0" w:type="dxa"/>
        <w:right w:w="0" w:type="dxa"/>
        <w:bottom w:w="0" w:type="dxa"/>
      </w:tblCellMar>
    </w:tblPr>
  </w:style>
  <w:style w:type="table" w:styleId="1128" w:customStyle="1">
    <w:name w:val="网格型1"/>
    <w:basedOn w:val="1032"/>
    <w:uiPriority w:val="59"/>
    <w:qFormat/>
    <w:pPr>
      <w:jc w:val="both"/>
      <w:widowControl w:val="off"/>
    </w:pPr>
    <w:tblPr>
      <w:tblCellMar>
        <w:left w:w="0" w:type="dxa"/>
        <w:top w:w="0" w:type="dxa"/>
        <w:right w:w="0" w:type="dxa"/>
        <w:bottom w:w="0" w:type="dxa"/>
      </w:tblCellMar>
    </w:tblPr>
  </w:style>
  <w:style w:type="table" w:styleId="1129" w:customStyle="1">
    <w:name w:val="Table Normal"/>
    <w:uiPriority w:val="2"/>
    <w:semiHidden/>
    <w:unhideWhenUsed/>
    <w:qFormat/>
    <w:tblPr>
      <w:tblCellMar>
        <w:left w:w="0" w:type="dxa"/>
        <w:top w:w="0" w:type="dxa"/>
        <w:right w:w="0" w:type="dxa"/>
        <w:bottom w:w="0" w:type="dxa"/>
      </w:tblCellMar>
    </w:tblPr>
  </w:style>
  <w:style w:type="paragraph" w:styleId="1130" w:customStyle="1">
    <w:name w:val="Table Paragraph"/>
    <w:basedOn w:val="771"/>
    <w:uiPriority w:val="1"/>
    <w:qFormat/>
    <w:pPr>
      <w:ind w:left="108"/>
    </w:pPr>
  </w:style>
  <w:style w:type="paragraph" w:styleId="1131" w:customStyle="1">
    <w:name w:val="纯文本2"/>
    <w:basedOn w:val="771"/>
    <w:uiPriority w:val="0"/>
    <w:qFormat/>
    <w:rPr>
      <w:rFonts w:ascii="宋体" w:hAnsi="Courier New"/>
    </w:rPr>
  </w:style>
  <w:style w:type="paragraph" w:styleId="1132" w:customStyle="1">
    <w:name w:val="目录 1111"/>
    <w:basedOn w:val="771"/>
    <w:next w:val="771"/>
    <w:uiPriority w:val="39"/>
    <w:unhideWhenUsed/>
    <w:qFormat/>
    <w:pPr>
      <w:jc w:val="left"/>
      <w:spacing w:after="100" w:line="259" w:lineRule="auto"/>
      <w:widowControl/>
    </w:pPr>
    <w:rPr>
      <w:rFonts w:ascii="Calibri" w:hAnsi="Calibri"/>
      <w:sz w:val="22"/>
      <w:szCs w:val="22"/>
    </w:rPr>
  </w:style>
  <w:style w:type="paragraph" w:styleId="1133" w:customStyle="1">
    <w:name w:val="qowt-stl-正文"/>
    <w:basedOn w:val="771"/>
    <w:uiPriority w:val="0"/>
    <w:qFormat/>
    <w:pPr>
      <w:spacing w:before="100" w:beforeAutospacing="1" w:after="100" w:afterAutospacing="1"/>
    </w:pPr>
    <w:rPr>
      <w:rFonts w:ascii="宋体" w:hAnsi="宋体" w:cs="宋体"/>
      <w:sz w:val="24"/>
    </w:rPr>
  </w:style>
  <w:style w:type="character" w:styleId="1134" w:customStyle="1">
    <w:name w:val="qowt-font2"/>
    <w:uiPriority w:val="0"/>
    <w:qFormat/>
  </w:style>
  <w:style w:type="paragraph" w:styleId="1135" w:customStyle="1">
    <w:name w:val="正文文本缩进 31"/>
    <w:basedOn w:val="771"/>
    <w:uiPriority w:val="0"/>
    <w:qFormat/>
    <w:pPr>
      <w:ind w:left="420"/>
      <w:spacing w:after="120"/>
    </w:pPr>
    <w:rPr>
      <w:sz w:val="16"/>
      <w:szCs w:val="16"/>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永明</cp:lastModifiedBy>
  <cp:revision>18</cp:revision>
  <dcterms:created xsi:type="dcterms:W3CDTF">2022-04-14T10:51:00Z</dcterms:created>
  <dcterms:modified xsi:type="dcterms:W3CDTF">2025-11-12T01:10:33Z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50E749F5BD6C439F9263CD3EE993B6F5_13</vt:lpwstr>
  </property>
  <property fmtid="{D5CDD505-2E9C-101B-9397-08002B2CF9AE}" pid="4" name="KSOTemplateDocerSaveRecord">
    <vt:lpwstr>eyJoZGlkIjoiYTljMDQwYzY2YjFmZmZlYjFmNDY2ODEwZTJiNTIwYzIiLCJ1c2VySWQiOiI3MTQ1Mjg4MzEifQ==</vt:lpwstr>
  </property>
</Properties>
</file>